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347" w14:textId="6FC34150" w:rsidR="00D7494A" w:rsidRPr="001A6138" w:rsidRDefault="3AFBC86E" w:rsidP="3AFBC86E">
      <w:pPr>
        <w:tabs>
          <w:tab w:val="left" w:pos="9214"/>
        </w:tabs>
        <w:ind w:right="95"/>
        <w:rPr>
          <w:rStyle w:val="Emphasis"/>
          <w:rFonts w:cs="Arial"/>
          <w:i w:val="0"/>
          <w:iCs w:val="0"/>
        </w:rPr>
      </w:pPr>
      <w:r w:rsidRPr="001A6138">
        <w:t xml:space="preserve">Minutes of </w:t>
      </w:r>
      <w:proofErr w:type="spellStart"/>
      <w:r w:rsidRPr="001A6138">
        <w:t>Elmsett</w:t>
      </w:r>
      <w:proofErr w:type="spellEnd"/>
      <w:r w:rsidRPr="001A6138">
        <w:t xml:space="preserve"> Parish Council meeting held on </w:t>
      </w:r>
      <w:r w:rsidR="002D3568" w:rsidRPr="001A6138">
        <w:t>Tues</w:t>
      </w:r>
      <w:r w:rsidR="003927BB">
        <w:t xml:space="preserve">day </w:t>
      </w:r>
      <w:r w:rsidRPr="001A6138">
        <w:t>th</w:t>
      </w:r>
      <w:r w:rsidR="003927BB">
        <w:t>e</w:t>
      </w:r>
      <w:r w:rsidR="004B0B66">
        <w:t xml:space="preserve"> </w:t>
      </w:r>
      <w:r w:rsidR="00021F79">
        <w:t>24</w:t>
      </w:r>
      <w:r w:rsidR="00D77451">
        <w:rPr>
          <w:vertAlign w:val="superscript"/>
        </w:rPr>
        <w:t xml:space="preserve"> </w:t>
      </w:r>
      <w:r w:rsidR="00021F79">
        <w:t>February</w:t>
      </w:r>
      <w:r w:rsidR="003C2DC2">
        <w:t xml:space="preserve"> 2026</w:t>
      </w:r>
      <w:r w:rsidRPr="001A6138">
        <w:t xml:space="preserve"> </w:t>
      </w:r>
      <w:r w:rsidR="003927BB">
        <w:t xml:space="preserve">at </w:t>
      </w:r>
      <w:proofErr w:type="spellStart"/>
      <w:r w:rsidRPr="001A6138">
        <w:rPr>
          <w:rStyle w:val="Emphasis"/>
          <w:rFonts w:cs="Arial"/>
          <w:i w:val="0"/>
          <w:iCs w:val="0"/>
        </w:rPr>
        <w:t>Elmsett</w:t>
      </w:r>
      <w:proofErr w:type="spellEnd"/>
      <w:r w:rsidRPr="001A6138">
        <w:rPr>
          <w:rStyle w:val="Emphasis"/>
          <w:rFonts w:cs="Arial"/>
          <w:i w:val="0"/>
          <w:iCs w:val="0"/>
        </w:rPr>
        <w:t xml:space="preserve"> </w:t>
      </w:r>
      <w:r w:rsidR="002D3568" w:rsidRPr="001A6138">
        <w:rPr>
          <w:rStyle w:val="Emphasis"/>
          <w:rFonts w:cs="Arial"/>
          <w:i w:val="0"/>
          <w:iCs w:val="0"/>
        </w:rPr>
        <w:t>Methodist Church.</w:t>
      </w:r>
      <w:r w:rsidRPr="001A6138">
        <w:rPr>
          <w:rStyle w:val="Emphasis"/>
          <w:rFonts w:cs="Arial"/>
          <w:i w:val="0"/>
          <w:iCs w:val="0"/>
        </w:rPr>
        <w:t xml:space="preserve">  </w:t>
      </w:r>
    </w:p>
    <w:p w14:paraId="643965C2" w14:textId="77777777" w:rsidR="3AFBC86E" w:rsidRPr="001A6138" w:rsidRDefault="3AFBC86E" w:rsidP="3AFBC86E">
      <w:pPr>
        <w:tabs>
          <w:tab w:val="left" w:pos="9214"/>
        </w:tabs>
        <w:ind w:right="95"/>
        <w:rPr>
          <w:rStyle w:val="Emphasis"/>
          <w:rFonts w:cs="Arial"/>
          <w:i w:val="0"/>
          <w:iCs w:val="0"/>
        </w:rPr>
      </w:pPr>
    </w:p>
    <w:p w14:paraId="0901C1CF" w14:textId="77777777" w:rsidR="00D7494A" w:rsidRPr="001A6138" w:rsidRDefault="00D7494A" w:rsidP="00D7494A">
      <w:pPr>
        <w:tabs>
          <w:tab w:val="left" w:pos="9214"/>
        </w:tabs>
        <w:rPr>
          <w:rStyle w:val="Emphasis"/>
          <w:rFonts w:cs="Arial"/>
          <w:i w:val="0"/>
          <w:iCs w:val="0"/>
        </w:rPr>
      </w:pPr>
    </w:p>
    <w:tbl>
      <w:tblPr>
        <w:tblStyle w:val="TableGridLigh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080"/>
      </w:tblGrid>
      <w:tr w:rsidR="00D7494A" w:rsidRPr="001A6138" w14:paraId="485BD761" w14:textId="77777777" w:rsidTr="0585AD96">
        <w:trPr>
          <w:trHeight w:val="873"/>
        </w:trPr>
        <w:tc>
          <w:tcPr>
            <w:tcW w:w="1276" w:type="dxa"/>
          </w:tcPr>
          <w:p w14:paraId="2374DF1E" w14:textId="5BD4AA35" w:rsidR="00D7494A" w:rsidRPr="001A6138" w:rsidRDefault="003C2DC2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</w:t>
            </w:r>
            <w:r w:rsidR="0585AD96"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="0585AD96"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.00</w:t>
            </w:r>
          </w:p>
          <w:p w14:paraId="55A04F39" w14:textId="77777777" w:rsidR="00D7494A" w:rsidRPr="001A6138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20C28EF" w14:textId="4C69937D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PRESENT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:  Alan Newman in the Chair,</w:t>
            </w:r>
            <w:r w:rsidR="003C2DC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Nick Bird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Paul </w:t>
            </w:r>
            <w:proofErr w:type="spellStart"/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Firman</w:t>
            </w:r>
            <w:proofErr w:type="spellEnd"/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, </w:t>
            </w:r>
          </w:p>
          <w:p w14:paraId="278B0988" w14:textId="2E86AFC7" w:rsidR="00D7494A" w:rsidRPr="001A6138" w:rsidRDefault="003C2DC2" w:rsidP="3AFBC86E">
            <w:pPr>
              <w:tabs>
                <w:tab w:val="left" w:pos="162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Fiona Watt, </w:t>
            </w:r>
            <w:r w:rsidR="3AFBC86E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Fran Williams,</w:t>
            </w:r>
            <w:r w:rsidR="008F3BB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Andrew Woodgate</w:t>
            </w:r>
            <w:r w:rsidR="3AFBC86E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Kathleen Peacock (clerk). 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Robert Lin</w:t>
            </w:r>
            <w:r w:rsidR="00676D1F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say SCC</w:t>
            </w:r>
            <w:r w:rsidR="3AFBC86E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</w:p>
          <w:p w14:paraId="1BF95C6F" w14:textId="77777777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1A6138" w14:paraId="6B494C54" w14:textId="77777777" w:rsidTr="0585AD96">
        <w:trPr>
          <w:trHeight w:val="477"/>
        </w:trPr>
        <w:tc>
          <w:tcPr>
            <w:tcW w:w="1276" w:type="dxa"/>
          </w:tcPr>
          <w:p w14:paraId="066281E7" w14:textId="479FBEB4" w:rsidR="00D7494A" w:rsidRPr="001A6138" w:rsidRDefault="00D77451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</w:t>
            </w:r>
            <w:r w:rsidR="006F1D5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26</w:t>
            </w:r>
            <w:r w:rsidR="0585AD96"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.01</w:t>
            </w:r>
          </w:p>
        </w:tc>
        <w:tc>
          <w:tcPr>
            <w:tcW w:w="8080" w:type="dxa"/>
          </w:tcPr>
          <w:p w14:paraId="0C1E3058" w14:textId="2A8BC0D3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APOLOGIES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: </w:t>
            </w:r>
            <w:r w:rsidR="003C2DC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John Sones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(approved)</w:t>
            </w:r>
            <w:r w:rsidR="003C2DC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Leigh</w:t>
            </w:r>
            <w:r w:rsidR="001E4C5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Jamieson BDC 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sent </w:t>
            </w:r>
            <w:r w:rsidR="00B74B9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their</w:t>
            </w:r>
            <w:r w:rsidR="00665BD8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apologies.</w:t>
            </w:r>
          </w:p>
          <w:p w14:paraId="7D3166FF" w14:textId="77777777" w:rsidR="00D7494A" w:rsidRPr="001A6138" w:rsidRDefault="00D7494A" w:rsidP="00291A84">
            <w:pPr>
              <w:tabs>
                <w:tab w:val="left" w:pos="162"/>
              </w:tabs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1A6138" w14:paraId="5207BFD4" w14:textId="77777777" w:rsidTr="0585AD96">
        <w:trPr>
          <w:trHeight w:val="711"/>
        </w:trPr>
        <w:tc>
          <w:tcPr>
            <w:tcW w:w="1276" w:type="dxa"/>
          </w:tcPr>
          <w:p w14:paraId="760230EB" w14:textId="5C706D76" w:rsidR="00D7494A" w:rsidRPr="001A6138" w:rsidRDefault="00D77451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</w:t>
            </w:r>
            <w:r w:rsidR="0585AD96"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="0585AD96" w:rsidRPr="0585AD9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.02</w:t>
            </w:r>
          </w:p>
          <w:p w14:paraId="4D1B91B2" w14:textId="77777777" w:rsidR="00EA59C6" w:rsidRPr="001A6138" w:rsidRDefault="00EA59C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B129EA" w14:textId="77777777" w:rsidR="00EA59C6" w:rsidRPr="001A6138" w:rsidRDefault="00EA59C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8A1BE16" w14:textId="77777777" w:rsidR="00EA59C6" w:rsidRPr="001A6138" w:rsidRDefault="00EA59C6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0064828" w14:textId="762B25F5" w:rsidR="00EA59C6" w:rsidRPr="001A6138" w:rsidRDefault="00D7745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</w:t>
            </w:r>
            <w:r w:rsidR="00EA59C6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="00EA59C6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</w:t>
            </w:r>
            <w:r w:rsidR="00C35D55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2C0AEB2B" w14:textId="4E712336" w:rsidR="00FF3090" w:rsidRPr="001A6138" w:rsidRDefault="00F16550" w:rsidP="00FF3090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MINUTES </w:t>
            </w:r>
            <w:r w:rsidR="0086756D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FROM</w:t>
            </w:r>
            <w:r w:rsidR="00951701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="0086756D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THE PREVIOUS MEETING</w:t>
            </w:r>
            <w:r w:rsidR="00322FBF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S</w:t>
            </w:r>
            <w:r w:rsidR="00951701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:</w:t>
            </w:r>
            <w:r w:rsidR="00FF3090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Minutes of the </w:t>
            </w:r>
            <w:r w:rsidR="00F46B93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Council m</w:t>
            </w:r>
            <w:r w:rsidR="00FF3090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eetings held on </w:t>
            </w:r>
            <w:r w:rsidR="001E4C5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9 December </w:t>
            </w:r>
            <w:proofErr w:type="gramStart"/>
            <w:r w:rsidR="001E4C5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2025</w:t>
            </w:r>
            <w:proofErr w:type="gramEnd"/>
            <w:r w:rsidR="001E4C5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</w:t>
            </w:r>
            <w:r w:rsidR="00D7745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13 January 2026</w:t>
            </w:r>
            <w:r w:rsidR="00FF3090"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were signed as an accurate record. </w:t>
            </w:r>
          </w:p>
          <w:p w14:paraId="39EC92C9" w14:textId="77777777" w:rsidR="00F16550" w:rsidRPr="001A6138" w:rsidRDefault="00F16550" w:rsidP="3AFBC86E">
            <w:pPr>
              <w:tabs>
                <w:tab w:val="left" w:pos="0"/>
              </w:tabs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3C7EB68" w14:textId="3CBC273C" w:rsidR="00D7494A" w:rsidRPr="001A6138" w:rsidRDefault="3AFBC86E" w:rsidP="3AFBC86E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DECLARATIONS OF INTEREST ON AGENDA ITEMS</w:t>
            </w:r>
            <w:r w:rsidRPr="001A6138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: </w:t>
            </w:r>
            <w:r w:rsidR="00D7745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No declarations of interest were reported. </w:t>
            </w:r>
          </w:p>
          <w:p w14:paraId="679ECC12" w14:textId="77777777" w:rsidR="00D7494A" w:rsidRPr="001A6138" w:rsidRDefault="00D7494A" w:rsidP="00291A84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1A6138" w14:paraId="439DE3A9" w14:textId="77777777" w:rsidTr="0585AD96">
        <w:trPr>
          <w:trHeight w:val="736"/>
        </w:trPr>
        <w:tc>
          <w:tcPr>
            <w:tcW w:w="1276" w:type="dxa"/>
          </w:tcPr>
          <w:p w14:paraId="0E571A6F" w14:textId="53658377" w:rsidR="00D7494A" w:rsidRPr="003A05D6" w:rsidRDefault="002C3EB1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03</w:t>
            </w:r>
            <w:r w:rsidR="00D7494A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="00D7494A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</w:t>
            </w:r>
            <w:r w:rsidR="006853C4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4</w:t>
            </w:r>
          </w:p>
          <w:p w14:paraId="3E9DD5D0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8205CF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C9B1F63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60FE08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A253A11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131594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D3B7827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D7D24D8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4FB408C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E7F8AD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F3BD912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603414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5ED4F43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C0695D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3AED3B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4FCC3F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FF67BED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DFCF87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CD5682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09F93C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3AB54CE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EE12CCB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F8025F1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3C38E3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B5F27F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C8E18B6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256C4FF" w14:textId="77777777" w:rsidR="00D31800" w:rsidRDefault="00D31800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AA2159F" w14:textId="77777777" w:rsidR="00E95C7A" w:rsidRDefault="00E95C7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61F04AB" w14:textId="77777777" w:rsidR="00E95C7A" w:rsidRPr="003A05D6" w:rsidRDefault="00E95C7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D06465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6705E53" w14:textId="77777777" w:rsidR="008950FE" w:rsidRDefault="008950F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E6FE00D" w14:textId="77777777" w:rsidR="008950FE" w:rsidRDefault="008950F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8205351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F18A339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69AA991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A7DB56D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B823E59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ABC7C5A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4620611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F0F1315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A0B274F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5A644B8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947CD47" w14:textId="77777777" w:rsidR="0013403E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32"/>
                <w:szCs w:val="32"/>
              </w:rPr>
            </w:pPr>
          </w:p>
          <w:p w14:paraId="6B3C8DBE" w14:textId="77777777" w:rsidR="00F06D9F" w:rsidRPr="00F06D9F" w:rsidRDefault="00F06D9F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03CEA21" w14:textId="77777777" w:rsidR="00393BF1" w:rsidRDefault="00393BF1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8A212FB" w14:textId="77777777" w:rsidR="00393BF1" w:rsidRDefault="00393BF1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4C569CE" w14:textId="77777777" w:rsidR="00393BF1" w:rsidRDefault="00393BF1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85C2FDE" w14:textId="77777777" w:rsidR="00393BF1" w:rsidRDefault="00393BF1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653B875" w14:textId="77777777" w:rsidR="00393BF1" w:rsidRDefault="00393BF1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8"/>
                <w:szCs w:val="28"/>
              </w:rPr>
            </w:pPr>
          </w:p>
          <w:p w14:paraId="6E462FDA" w14:textId="77777777" w:rsidR="000031C8" w:rsidRDefault="000031C8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</w:pPr>
          </w:p>
          <w:p w14:paraId="631D00C3" w14:textId="77777777" w:rsidR="006C1521" w:rsidRPr="006C1521" w:rsidRDefault="006C1521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18"/>
                <w:szCs w:val="18"/>
              </w:rPr>
            </w:pPr>
          </w:p>
          <w:p w14:paraId="16A856E7" w14:textId="64D83C97" w:rsidR="00FD7BF5" w:rsidRPr="003A05D6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</w:t>
            </w:r>
            <w:r w:rsidR="00FD7BF5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="00FD7BF5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.05</w:t>
            </w:r>
          </w:p>
          <w:p w14:paraId="531A9816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E49585D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ECFAF7E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08C4819" w14:textId="77777777" w:rsidR="00D153DA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32"/>
                <w:szCs w:val="32"/>
              </w:rPr>
            </w:pPr>
          </w:p>
          <w:p w14:paraId="002E6FAC" w14:textId="77777777" w:rsidR="00393BF1" w:rsidRDefault="00393BF1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32"/>
                <w:szCs w:val="32"/>
              </w:rPr>
            </w:pPr>
          </w:p>
          <w:p w14:paraId="1D24EE03" w14:textId="77777777" w:rsidR="00322FBF" w:rsidRPr="00322FBF" w:rsidRDefault="00322FBF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48"/>
                <w:szCs w:val="48"/>
              </w:rPr>
            </w:pPr>
          </w:p>
          <w:p w14:paraId="39F14B7E" w14:textId="61285CAF" w:rsidR="00D153DA" w:rsidRDefault="0013403E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</w:t>
            </w:r>
            <w:r w:rsidR="00D153DA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="00D153DA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.06</w:t>
            </w:r>
          </w:p>
          <w:p w14:paraId="6386C668" w14:textId="77777777" w:rsidR="00D4243D" w:rsidRDefault="00D4243D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8F0C26" w14:textId="77777777" w:rsidR="0025144A" w:rsidRDefault="0025144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E1B545C" w14:textId="77777777" w:rsidR="0025144A" w:rsidRDefault="0025144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2AE9B31" w14:textId="77777777" w:rsidR="0025144A" w:rsidRDefault="0025144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9F8545D" w14:textId="77777777" w:rsidR="00D4243D" w:rsidRPr="0025144A" w:rsidRDefault="00D4243D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F9A9400" w14:textId="3713C644" w:rsidR="00D4243D" w:rsidRPr="003A05D6" w:rsidRDefault="00D4243D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02.</w:t>
            </w:r>
            <w:r w:rsidR="00726030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26.07</w:t>
            </w:r>
          </w:p>
          <w:p w14:paraId="78E9F823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E14EFA" w14:textId="77777777" w:rsidR="00D153DA" w:rsidRPr="003A05D6" w:rsidRDefault="00D153D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AA57E67" w14:textId="77777777" w:rsidR="00B04077" w:rsidRPr="00AA45DE" w:rsidRDefault="00B04077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32"/>
                <w:szCs w:val="32"/>
              </w:rPr>
            </w:pPr>
          </w:p>
          <w:p w14:paraId="2C22AB65" w14:textId="4E1591FC" w:rsidR="00862044" w:rsidRDefault="00FA2FA0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</w:t>
            </w:r>
            <w:r w:rsidR="009A3ADC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="009A3ADC"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</w:t>
            </w:r>
            <w:r w:rsidR="003F764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8</w:t>
            </w:r>
          </w:p>
          <w:p w14:paraId="324615C2" w14:textId="77777777" w:rsidR="00F94214" w:rsidRDefault="00F9421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5BD7DA8" w14:textId="77777777" w:rsidR="00F94214" w:rsidRPr="003F7641" w:rsidRDefault="00F9421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36"/>
                <w:szCs w:val="36"/>
              </w:rPr>
            </w:pPr>
          </w:p>
          <w:p w14:paraId="2430A58C" w14:textId="6E28DBCB" w:rsidR="009A3ADC" w:rsidRDefault="009A3AD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1</w:t>
            </w:r>
            <w:r w:rsidR="00B0407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</w:t>
            </w:r>
            <w:r w:rsidR="00C81CC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6</w:t>
            </w:r>
            <w:r w:rsidRPr="003A05D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.0</w:t>
            </w:r>
            <w:r w:rsidR="0065139C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9</w:t>
            </w:r>
          </w:p>
          <w:p w14:paraId="6918A972" w14:textId="77777777" w:rsidR="00C81CC4" w:rsidRDefault="00C81CC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BDBF660" w14:textId="77777777" w:rsidR="00C81CC4" w:rsidRDefault="00C81CC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CC183E" w14:textId="77777777" w:rsidR="00C81CC4" w:rsidRDefault="00C81CC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349ACB1" w14:textId="77777777" w:rsidR="00C81CC4" w:rsidRDefault="00C81CC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14"/>
                <w:szCs w:val="14"/>
              </w:rPr>
            </w:pPr>
          </w:p>
          <w:p w14:paraId="243DAFB3" w14:textId="77777777" w:rsidR="00322FBF" w:rsidRDefault="00322FBF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14"/>
                <w:szCs w:val="14"/>
              </w:rPr>
            </w:pPr>
          </w:p>
          <w:p w14:paraId="6AAA25DD" w14:textId="77777777" w:rsidR="00322FBF" w:rsidRPr="00AC005C" w:rsidRDefault="00322FBF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14"/>
                <w:szCs w:val="14"/>
              </w:rPr>
            </w:pPr>
          </w:p>
          <w:p w14:paraId="7536C0C0" w14:textId="2C9A3756" w:rsidR="00C81CC4" w:rsidRDefault="00C81CC4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02.26.10</w:t>
            </w:r>
          </w:p>
          <w:p w14:paraId="7344BC13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AE0F02E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BE1024C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F0D06B2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EBFADC4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BF594FF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F23FDDC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4F00255" w14:textId="77777777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4D658A4" w14:textId="77777777" w:rsidR="0079521C" w:rsidRPr="00C276E6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4"/>
                <w:szCs w:val="4"/>
              </w:rPr>
            </w:pPr>
          </w:p>
          <w:p w14:paraId="64D99D13" w14:textId="77777777" w:rsidR="0079521C" w:rsidRP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8"/>
                <w:szCs w:val="8"/>
              </w:rPr>
            </w:pPr>
          </w:p>
          <w:p w14:paraId="3FCED108" w14:textId="2EAF4EE2" w:rsidR="0079521C" w:rsidRDefault="0079521C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02.26.11</w:t>
            </w:r>
          </w:p>
          <w:p w14:paraId="6CBE0F60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4F691FC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04230A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F9001E0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65CBAC2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9FD97CF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5BD6E2B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C45683B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D8BDD65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13D8024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885DB41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8B27D5D" w14:textId="77777777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46808A" w14:textId="77777777" w:rsidR="007322F5" w:rsidRP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18"/>
                <w:szCs w:val="18"/>
              </w:rPr>
            </w:pPr>
          </w:p>
          <w:p w14:paraId="3ED81FB7" w14:textId="385C1B92" w:rsidR="007322F5" w:rsidRDefault="007322F5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02.26.12</w:t>
            </w:r>
          </w:p>
          <w:p w14:paraId="039DF95E" w14:textId="77777777" w:rsidR="00A674AA" w:rsidRDefault="00A674A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A8DE914" w14:textId="77777777" w:rsidR="00A674AA" w:rsidRDefault="00A674A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B97103A" w14:textId="77777777" w:rsidR="00A674AA" w:rsidRDefault="00A674A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5D063F8" w14:textId="77777777" w:rsidR="00A674AA" w:rsidRDefault="00A674A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4EA1BFA" w14:textId="6FA7F05B" w:rsidR="00A674AA" w:rsidRDefault="00A674A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E85E893" w14:textId="77777777" w:rsidR="00A674AA" w:rsidRPr="003A05D6" w:rsidRDefault="00A674AA" w:rsidP="00FD7BF5">
            <w:pPr>
              <w:spacing w:line="276" w:lineRule="auto"/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94BC4D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ACC971F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5CE60B2" w14:textId="77777777" w:rsidR="00272CCB" w:rsidRPr="003A05D6" w:rsidRDefault="00272CCB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5D2E36D" w14:textId="77777777" w:rsidR="004E2A39" w:rsidRPr="003A05D6" w:rsidRDefault="004E2A39" w:rsidP="3AFBC86E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6E226F" w14:textId="77777777" w:rsidR="004A2DD5" w:rsidRDefault="00A25D73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lastRenderedPageBreak/>
              <w:t xml:space="preserve">COUNCIL </w:t>
            </w:r>
            <w:r w:rsidR="006853C4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REPORTS FROM; </w:t>
            </w:r>
          </w:p>
          <w:p w14:paraId="65BFD22A" w14:textId="77777777" w:rsidR="00E95C7A" w:rsidRDefault="00E95C7A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66BBBF2" w14:textId="763EE40E" w:rsidR="00C35D55" w:rsidRDefault="006853C4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A) </w:t>
            </w:r>
            <w:r w:rsidR="00345D8C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COUNTY COUNCILLOR ROBERT LIN</w:t>
            </w:r>
            <w:r w:rsidR="00F954AA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D</w:t>
            </w:r>
            <w:r w:rsidR="00345D8C"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SAY;</w:t>
            </w:r>
          </w:p>
          <w:p w14:paraId="3E15E33E" w14:textId="77777777" w:rsidR="0056678B" w:rsidRDefault="0056678B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8CDB226" w14:textId="4A0C3295" w:rsidR="0010418C" w:rsidRPr="00DB5C6D" w:rsidRDefault="000762DF" w:rsidP="0010418C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Two</w:t>
            </w:r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replacement 30mph repeater sign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</w:t>
            </w:r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ha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ve</w:t>
            </w:r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been ordered for Ipswich Road. The sign that was obscured by </w:t>
            </w:r>
            <w:r w:rsidR="0063110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 </w:t>
            </w:r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hedge on</w:t>
            </w:r>
            <w:r w:rsidR="0058055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2D2C5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junction of </w:t>
            </w:r>
            <w:r w:rsidR="0058055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 Street/</w:t>
            </w:r>
            <w:proofErr w:type="spellStart"/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W</w:t>
            </w:r>
            <w:r w:rsidR="0058055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h</w:t>
            </w:r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atfield</w:t>
            </w:r>
            <w:proofErr w:type="spellEnd"/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Road</w:t>
            </w:r>
            <w:r w:rsidR="0058055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C7708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has </w:t>
            </w:r>
            <w:r w:rsidR="005B76F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been dealt with and is now visible. </w:t>
            </w:r>
            <w:r w:rsidR="009743C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Thank you to John Gillis for 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cutting back the hedge</w:t>
            </w:r>
            <w:r w:rsidR="009743C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</w:p>
          <w:p w14:paraId="2C0D3631" w14:textId="77777777" w:rsidR="00DB5C6D" w:rsidRPr="0010418C" w:rsidRDefault="00DB5C6D" w:rsidP="00DB5C6D">
            <w:pPr>
              <w:pStyle w:val="ListParagraph"/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45F0B80" w14:textId="063580DE" w:rsidR="000762DF" w:rsidRDefault="000762DF" w:rsidP="00200C7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0762DF">
              <w:rPr>
                <w:sz w:val="24"/>
                <w:szCs w:val="24"/>
              </w:rPr>
              <w:t xml:space="preserve">New bus </w:t>
            </w:r>
            <w:r>
              <w:rPr>
                <w:sz w:val="24"/>
                <w:szCs w:val="24"/>
              </w:rPr>
              <w:t xml:space="preserve">service </w:t>
            </w:r>
            <w:r w:rsidR="0006213D">
              <w:rPr>
                <w:sz w:val="24"/>
                <w:szCs w:val="24"/>
              </w:rPr>
              <w:t>will be launched on 13</w:t>
            </w:r>
            <w:r w:rsidR="0006213D" w:rsidRPr="0006213D">
              <w:rPr>
                <w:sz w:val="24"/>
                <w:szCs w:val="24"/>
                <w:vertAlign w:val="superscript"/>
              </w:rPr>
              <w:t>th</w:t>
            </w:r>
            <w:r w:rsidR="0006213D">
              <w:rPr>
                <w:sz w:val="24"/>
                <w:szCs w:val="24"/>
              </w:rPr>
              <w:t xml:space="preserve"> April by </w:t>
            </w:r>
            <w:proofErr w:type="spellStart"/>
            <w:r w:rsidR="0006213D">
              <w:rPr>
                <w:sz w:val="24"/>
                <w:szCs w:val="24"/>
              </w:rPr>
              <w:t>KonnectBus</w:t>
            </w:r>
            <w:proofErr w:type="spellEnd"/>
            <w:r w:rsidR="0006213D">
              <w:rPr>
                <w:sz w:val="24"/>
                <w:szCs w:val="24"/>
              </w:rPr>
              <w:t xml:space="preserve"> between Hadleigh and Stowmarket</w:t>
            </w:r>
            <w:r>
              <w:rPr>
                <w:sz w:val="24"/>
                <w:szCs w:val="24"/>
              </w:rPr>
              <w:t>. It will run six services</w:t>
            </w:r>
            <w:r w:rsidR="0006213D">
              <w:rPr>
                <w:sz w:val="24"/>
                <w:szCs w:val="24"/>
              </w:rPr>
              <w:t xml:space="preserve"> every </w:t>
            </w:r>
            <w:proofErr w:type="gramStart"/>
            <w:r w:rsidR="0006213D">
              <w:rPr>
                <w:sz w:val="24"/>
                <w:szCs w:val="24"/>
              </w:rPr>
              <w:t>week day</w:t>
            </w:r>
            <w:proofErr w:type="gramEnd"/>
            <w:r w:rsidR="0006213D">
              <w:rPr>
                <w:sz w:val="24"/>
                <w:szCs w:val="24"/>
              </w:rPr>
              <w:t>. Additional</w:t>
            </w:r>
            <w:r w:rsidRPr="000762DF">
              <w:rPr>
                <w:sz w:val="24"/>
                <w:szCs w:val="24"/>
              </w:rPr>
              <w:t xml:space="preserve"> services </w:t>
            </w:r>
            <w:r w:rsidR="0006213D">
              <w:rPr>
                <w:sz w:val="24"/>
                <w:szCs w:val="24"/>
              </w:rPr>
              <w:t>will be added to the route</w:t>
            </w:r>
            <w:r w:rsidR="00DA24C8">
              <w:rPr>
                <w:sz w:val="24"/>
                <w:szCs w:val="24"/>
              </w:rPr>
              <w:t xml:space="preserve"> in the summer</w:t>
            </w:r>
            <w:r w:rsidR="0006213D">
              <w:rPr>
                <w:sz w:val="24"/>
                <w:szCs w:val="24"/>
              </w:rPr>
              <w:t xml:space="preserve"> between</w:t>
            </w:r>
            <w:r w:rsidRPr="000762DF">
              <w:rPr>
                <w:sz w:val="24"/>
                <w:szCs w:val="24"/>
              </w:rPr>
              <w:t xml:space="preserve"> </w:t>
            </w:r>
            <w:proofErr w:type="spellStart"/>
            <w:r w:rsidRPr="000762DF">
              <w:rPr>
                <w:sz w:val="24"/>
                <w:szCs w:val="24"/>
              </w:rPr>
              <w:t>Whatfield</w:t>
            </w:r>
            <w:proofErr w:type="spellEnd"/>
            <w:r w:rsidRPr="000762DF">
              <w:rPr>
                <w:sz w:val="24"/>
                <w:szCs w:val="24"/>
              </w:rPr>
              <w:t xml:space="preserve"> to Hadleigh via </w:t>
            </w:r>
            <w:proofErr w:type="spellStart"/>
            <w:r w:rsidRPr="000762DF">
              <w:rPr>
                <w:sz w:val="24"/>
                <w:szCs w:val="24"/>
              </w:rPr>
              <w:t>Elmsett</w:t>
            </w:r>
            <w:proofErr w:type="spellEnd"/>
            <w:r w:rsidRPr="000762DF">
              <w:rPr>
                <w:sz w:val="24"/>
                <w:szCs w:val="24"/>
              </w:rPr>
              <w:t>. This is to compliment services provided Hadleigh Community Transport 461 and 462</w:t>
            </w:r>
            <w:r w:rsidR="00DA24C8">
              <w:rPr>
                <w:sz w:val="24"/>
                <w:szCs w:val="24"/>
              </w:rPr>
              <w:t>. Had</w:t>
            </w:r>
            <w:r w:rsidR="00200C7C">
              <w:rPr>
                <w:sz w:val="24"/>
                <w:szCs w:val="24"/>
              </w:rPr>
              <w:t xml:space="preserve">leigh Community Transport </w:t>
            </w:r>
            <w:r w:rsidR="00322FBF">
              <w:rPr>
                <w:sz w:val="24"/>
                <w:szCs w:val="24"/>
              </w:rPr>
              <w:t xml:space="preserve">will </w:t>
            </w:r>
            <w:r w:rsidR="00200C7C">
              <w:rPr>
                <w:sz w:val="24"/>
                <w:szCs w:val="24"/>
              </w:rPr>
              <w:t>not support cross ticket transport for the new route.</w:t>
            </w:r>
          </w:p>
          <w:p w14:paraId="0F8354D6" w14:textId="77777777" w:rsidR="00DB5C6D" w:rsidRPr="00200C7C" w:rsidRDefault="00DB5C6D" w:rsidP="00DB5C6D"/>
          <w:p w14:paraId="7D491A4B" w14:textId="77777777" w:rsidR="000762DF" w:rsidRPr="000762DF" w:rsidRDefault="000762DF" w:rsidP="000762D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762DF">
              <w:rPr>
                <w:sz w:val="24"/>
                <w:szCs w:val="24"/>
              </w:rPr>
              <w:t xml:space="preserve">A reminder that parishes can make their own “bid on a page” online for bus services they might want here: </w:t>
            </w:r>
          </w:p>
          <w:p w14:paraId="67647626" w14:textId="3E568BF1" w:rsidR="00882DE5" w:rsidRDefault="00DB5C6D" w:rsidP="00DB5C6D">
            <w:pPr>
              <w:pStyle w:val="ListParagraph"/>
              <w:rPr>
                <w:b/>
                <w:bCs/>
              </w:rPr>
            </w:pPr>
            <w:hyperlink r:id="rId7" w:history="1">
              <w:r w:rsidRPr="000762DF">
                <w:rPr>
                  <w:rStyle w:val="Hyperlink"/>
                  <w:rFonts w:cs="Arial"/>
                  <w:b/>
                  <w:bCs/>
                </w:rPr>
                <w:t>https://www.suffolkonboard.com/bus-service-improvement-plan-where-should-the-money-be-spent/</w:t>
              </w:r>
            </w:hyperlink>
          </w:p>
          <w:p w14:paraId="1B09A215" w14:textId="77777777" w:rsidR="00DB5C6D" w:rsidRPr="0035664A" w:rsidRDefault="00DB5C6D" w:rsidP="00DB5C6D">
            <w:pPr>
              <w:pStyle w:val="ListParagraph"/>
              <w:rPr>
                <w:rStyle w:val="Emphasis"/>
                <w:rFonts w:cs="Arial"/>
                <w:b/>
                <w:bCs/>
                <w:i w:val="0"/>
                <w:iCs w:val="0"/>
              </w:rPr>
            </w:pPr>
          </w:p>
          <w:p w14:paraId="51B4B7C9" w14:textId="4D9D8396" w:rsidR="0010418C" w:rsidRPr="00DB5C6D" w:rsidRDefault="003C092F" w:rsidP="0010418C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County Council Elections have been </w:t>
            </w:r>
            <w:r w:rsidR="003C4DC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re-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scheduled for May 2026. </w:t>
            </w:r>
            <w:r w:rsidR="0068385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Due to the Council restructure </w:t>
            </w:r>
            <w:r w:rsidR="003E7B8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Councillor Robert Lin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</w:t>
            </w:r>
            <w:r w:rsidR="003E7B8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say </w:t>
            </w:r>
            <w:r w:rsidR="003C4DC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will be unable to stand for election in </w:t>
            </w:r>
            <w:proofErr w:type="spellStart"/>
            <w:r w:rsidR="003C4DC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Elmsett</w:t>
            </w:r>
            <w:proofErr w:type="spellEnd"/>
            <w:r w:rsidR="003C4DC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 The Parish Council expressed their regret</w:t>
            </w:r>
            <w:r w:rsidR="0022420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at this </w:t>
            </w:r>
            <w:proofErr w:type="spellStart"/>
            <w:r w:rsidR="0022420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developement</w:t>
            </w:r>
            <w:proofErr w:type="spellEnd"/>
            <w:r w:rsidR="003C4DC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12242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and wished him well for the future. </w:t>
            </w:r>
          </w:p>
          <w:p w14:paraId="01944911" w14:textId="77777777" w:rsidR="00DB5C6D" w:rsidRPr="003C092F" w:rsidRDefault="00DB5C6D" w:rsidP="00DB5C6D">
            <w:pPr>
              <w:pStyle w:val="ListParagraph"/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5A41120" w14:textId="00D8CDCD" w:rsidR="002B046F" w:rsidRPr="0013403E" w:rsidRDefault="00A27018" w:rsidP="0013403E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County Council </w:t>
            </w:r>
            <w:r w:rsidR="000777D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will be raising their budget next year by the maximum 4.99%. This is to combat rising service costs. The additional funding will go to</w:t>
            </w:r>
            <w:r w:rsidR="002B046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wards providing SEN services across the region. </w:t>
            </w:r>
            <w:r w:rsidR="00D0618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Other cost raising measures include sus</w:t>
            </w:r>
            <w:r w:rsidR="00D13CBC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pending pensions contributions for 12 months to raise approximately </w:t>
            </w:r>
            <w:r w:rsidR="007D040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£10million.</w:t>
            </w:r>
            <w:r w:rsidR="003C6253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The</w:t>
            </w:r>
            <w:r w:rsidR="003C6253" w:rsidRPr="0013403E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="003C6253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County’s </w:t>
            </w:r>
            <w:r w:rsidR="00CF5542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carbon reduction target for 2030 will be </w:t>
            </w:r>
            <w:r w:rsidR="00CF5542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lastRenderedPageBreak/>
              <w:t xml:space="preserve">cut short </w:t>
            </w:r>
            <w:r w:rsidR="008950FE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to </w:t>
            </w:r>
            <w:r w:rsidR="0066537E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2028 due to the</w:t>
            </w:r>
            <w:r w:rsidR="00323888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8950FE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County’s dissolution</w:t>
            </w:r>
            <w:r w:rsidR="0066537E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So </w:t>
            </w:r>
            <w:proofErr w:type="gramStart"/>
            <w:r w:rsidR="0066537E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far</w:t>
            </w:r>
            <w:proofErr w:type="gramEnd"/>
            <w:r w:rsidR="0066537E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 estimated 4.4million has been saved in heating and energy bills</w:t>
            </w:r>
            <w:r w:rsidR="00CF7EE7" w:rsidRPr="0013403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</w:p>
          <w:p w14:paraId="0B1FFF47" w14:textId="5DECB2A1" w:rsidR="00F51D32" w:rsidRPr="00715B4E" w:rsidRDefault="001B087D" w:rsidP="002B046F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Parish discussed the County’s wealth of </w:t>
            </w:r>
            <w:r w:rsidR="0018054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potholes</w:t>
            </w:r>
            <w:r w:rsidR="0022420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</w:t>
            </w:r>
            <w:r w:rsidR="0018054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Due to climate change increasing </w:t>
            </w:r>
            <w:proofErr w:type="gramStart"/>
            <w:r w:rsidR="0018054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rain</w:t>
            </w:r>
            <w:r w:rsidR="008D0C8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-</w:t>
            </w:r>
            <w:r w:rsidR="0018054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fall</w:t>
            </w:r>
            <w:proofErr w:type="gramEnd"/>
            <w:r w:rsidR="0018054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over the winter months roads across the County are seeing an increase in the number of potholes and</w:t>
            </w:r>
            <w:r w:rsidR="00186FAD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their severity. A recent report published in the Times </w:t>
            </w:r>
            <w:r w:rsidR="00C36CA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rated Suffolk as red for pothole maintenance. This report has been disputed by the County as it did not </w:t>
            </w:r>
            <w:proofErr w:type="gramStart"/>
            <w:r w:rsidR="00C36CA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take into account</w:t>
            </w:r>
            <w:proofErr w:type="gramEnd"/>
            <w:r w:rsidR="003A4D0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 additional £10milli</w:t>
            </w:r>
            <w:r w:rsidR="0033674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o</w:t>
            </w:r>
            <w:r w:rsidR="003A4D0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n funding spent on repairs recently.</w:t>
            </w:r>
          </w:p>
          <w:p w14:paraId="74C81740" w14:textId="77777777" w:rsidR="00715B4E" w:rsidRPr="00F51D32" w:rsidRDefault="00715B4E" w:rsidP="00715B4E">
            <w:pPr>
              <w:pStyle w:val="ListParagraph"/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38916EC" w14:textId="57FE9D61" w:rsidR="003C6253" w:rsidRDefault="00F51D32" w:rsidP="002B046F">
            <w:pPr>
              <w:pStyle w:val="ListParagraph"/>
              <w:numPr>
                <w:ilvl w:val="0"/>
                <w:numId w:val="8"/>
              </w:num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</w:t>
            </w:r>
            <w:proofErr w:type="spellStart"/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Whatfield</w:t>
            </w:r>
            <w:proofErr w:type="spellEnd"/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footway 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scheme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was discussed</w:t>
            </w:r>
            <w:r w:rsidR="00A415B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Currently the upgrade </w:t>
            </w:r>
            <w:r w:rsidR="00F9554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is waiting for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revised </w:t>
            </w:r>
            <w:proofErr w:type="spellStart"/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plansm</w:t>
            </w:r>
            <w:proofErr w:type="spellEnd"/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then</w:t>
            </w:r>
            <w:r w:rsidR="00BA03E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</w:t>
            </w:r>
            <w:r w:rsidR="00F9554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BA03E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Village Green</w:t>
            </w:r>
            <w:r w:rsidR="00F9554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de-registration</w:t>
            </w:r>
            <w:r w:rsidR="003A4D0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BA03E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process to complete before the project can </w:t>
            </w:r>
            <w:r w:rsidR="00F77D2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receive </w:t>
            </w:r>
            <w:r w:rsidR="00BA03E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sign off by the County.</w:t>
            </w:r>
            <w:r w:rsidR="00F06D9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Councillor Robert Linsay asked to remain in the loop until the </w:t>
            </w:r>
            <w:proofErr w:type="spellStart"/>
            <w:proofErr w:type="gramStart"/>
            <w:r w:rsidR="00F06D9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projects</w:t>
            </w:r>
            <w:proofErr w:type="spellEnd"/>
            <w:proofErr w:type="gramEnd"/>
            <w:r w:rsidR="00F06D9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completion.</w:t>
            </w:r>
          </w:p>
          <w:p w14:paraId="5C973A11" w14:textId="77777777" w:rsidR="001B087D" w:rsidRPr="002B046F" w:rsidRDefault="001B087D" w:rsidP="00F77D2E">
            <w:pPr>
              <w:pStyle w:val="ListParagraph"/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6684B49" w14:textId="7FDF7C14" w:rsidR="006E4CFD" w:rsidRPr="0013403E" w:rsidRDefault="00A25D73" w:rsidP="006E4CFD">
            <w:pPr>
              <w:textAlignment w:val="baseline"/>
              <w:rPr>
                <w:rFonts w:eastAsia="Aptos"/>
                <w:b/>
                <w:bCs/>
                <w:color w:val="000000"/>
                <w:sz w:val="28"/>
                <w:szCs w:val="28"/>
              </w:rPr>
            </w:pPr>
            <w:r w:rsidRPr="0013403E">
              <w:rPr>
                <w:b/>
                <w:bCs/>
                <w:sz w:val="22"/>
                <w:szCs w:val="22"/>
              </w:rPr>
              <w:t>B) DISTRICT COUNCILLOR LEIGH JA</w:t>
            </w:r>
            <w:r w:rsidR="006A0424" w:rsidRPr="0013403E">
              <w:rPr>
                <w:b/>
                <w:bCs/>
                <w:sz w:val="22"/>
                <w:szCs w:val="22"/>
              </w:rPr>
              <w:t>MI</w:t>
            </w:r>
            <w:r w:rsidRPr="0013403E">
              <w:rPr>
                <w:b/>
                <w:bCs/>
                <w:sz w:val="22"/>
                <w:szCs w:val="22"/>
              </w:rPr>
              <w:t>E</w:t>
            </w:r>
            <w:r w:rsidR="00676D1F" w:rsidRPr="0013403E">
              <w:rPr>
                <w:b/>
                <w:bCs/>
                <w:sz w:val="22"/>
                <w:szCs w:val="22"/>
              </w:rPr>
              <w:t>SON</w:t>
            </w:r>
            <w:r w:rsidR="006E4CFD" w:rsidRPr="0013403E">
              <w:rPr>
                <w:rFonts w:eastAsia="Apto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AA2A293" w14:textId="77777777" w:rsidR="00FD7BF5" w:rsidRPr="0013403E" w:rsidRDefault="00FD7BF5" w:rsidP="00FD7BF5">
            <w:pPr>
              <w:ind w:left="360"/>
              <w:rPr>
                <w:sz w:val="22"/>
                <w:szCs w:val="22"/>
              </w:rPr>
            </w:pPr>
          </w:p>
          <w:p w14:paraId="3F9490DB" w14:textId="2FB35CF8" w:rsidR="0013403E" w:rsidRPr="0013403E" w:rsidRDefault="0013403E" w:rsidP="00FD7BF5">
            <w:pPr>
              <w:ind w:left="36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 xml:space="preserve">Councillor Leigh Jamieson sent his apologies to the Parish Council meeting so was unable to give his usual District summary. A written report was circulated prior to the meeting for information. </w:t>
            </w:r>
          </w:p>
          <w:p w14:paraId="5C43CE0C" w14:textId="77777777" w:rsidR="00FD7BF5" w:rsidRPr="0013403E" w:rsidRDefault="00FD7BF5" w:rsidP="003B45BE">
            <w:pPr>
              <w:rPr>
                <w:b/>
                <w:bCs/>
                <w:sz w:val="28"/>
                <w:szCs w:val="28"/>
              </w:rPr>
            </w:pPr>
          </w:p>
          <w:p w14:paraId="30448ABC" w14:textId="1FD66D8A" w:rsidR="00911F9B" w:rsidRPr="001A6138" w:rsidRDefault="00075FA3" w:rsidP="003B45BE">
            <w:pPr>
              <w:rPr>
                <w:sz w:val="24"/>
                <w:szCs w:val="24"/>
              </w:rPr>
            </w:pPr>
            <w:r w:rsidRPr="001A6138">
              <w:rPr>
                <w:b/>
                <w:bCs/>
                <w:sz w:val="24"/>
                <w:szCs w:val="24"/>
              </w:rPr>
              <w:t>CHAIRMAN’S REPOR</w:t>
            </w:r>
            <w:r w:rsidR="00233E38" w:rsidRPr="001A6138">
              <w:rPr>
                <w:b/>
                <w:bCs/>
                <w:sz w:val="24"/>
                <w:szCs w:val="24"/>
              </w:rPr>
              <w:t xml:space="preserve">T: </w:t>
            </w:r>
          </w:p>
          <w:p w14:paraId="508B291C" w14:textId="77777777" w:rsidR="00911F9B" w:rsidRPr="001A6138" w:rsidRDefault="00911F9B" w:rsidP="003B45BE">
            <w:pPr>
              <w:rPr>
                <w:sz w:val="24"/>
                <w:szCs w:val="24"/>
              </w:rPr>
            </w:pPr>
          </w:p>
          <w:p w14:paraId="75563A04" w14:textId="4897C0B7" w:rsidR="008A5225" w:rsidRPr="008D3234" w:rsidRDefault="00F06D9F" w:rsidP="00617AA9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The Parish’s Nationwide business account has received the required </w:t>
            </w:r>
            <w:r w:rsidR="008D3234">
              <w:rPr>
                <w:sz w:val="24"/>
                <w:szCs w:val="24"/>
              </w:rPr>
              <w:t xml:space="preserve">ID verification. </w:t>
            </w:r>
          </w:p>
          <w:p w14:paraId="6991E821" w14:textId="57641122" w:rsidR="005A3BC7" w:rsidRPr="005A3BC7" w:rsidRDefault="005A3BC7" w:rsidP="00617AA9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The Annual Parish meeting will take place on 7 April 2026 at the Methodist Hall. </w:t>
            </w:r>
          </w:p>
          <w:p w14:paraId="285C53FD" w14:textId="0FE7CB38" w:rsidR="00343D22" w:rsidRPr="00FA2FA0" w:rsidRDefault="00894D67" w:rsidP="00FA2FA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sz w:val="24"/>
                <w:szCs w:val="24"/>
              </w:rPr>
              <w:t>The Parish Council voted on appointing SALC as the Council’s internal Audit provider for 2025-2026. This was una</w:t>
            </w:r>
            <w:r w:rsidR="00343D22">
              <w:rPr>
                <w:sz w:val="24"/>
                <w:szCs w:val="24"/>
              </w:rPr>
              <w:t>nimously agreed</w:t>
            </w:r>
            <w:r w:rsidR="00FA2FA0">
              <w:rPr>
                <w:sz w:val="24"/>
                <w:szCs w:val="24"/>
              </w:rPr>
              <w:t>.</w:t>
            </w:r>
          </w:p>
          <w:p w14:paraId="4281DB7E" w14:textId="4FA161EB" w:rsidR="00393BF1" w:rsidRDefault="00393BF1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  <w:p w14:paraId="37D4ECF5" w14:textId="134B9941" w:rsidR="000031C8" w:rsidRDefault="000031C8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SPEED WATCH</w:t>
            </w:r>
          </w:p>
          <w:p w14:paraId="62CC435B" w14:textId="21E823DD" w:rsidR="000031C8" w:rsidRDefault="000031C8" w:rsidP="00393BF1">
            <w:pPr>
              <w:tabs>
                <w:tab w:val="left" w:pos="1749"/>
              </w:tabs>
              <w:rPr>
                <w:sz w:val="24"/>
                <w:szCs w:val="24"/>
              </w:rPr>
            </w:pPr>
          </w:p>
          <w:p w14:paraId="65B5F519" w14:textId="7DB4439B" w:rsidR="00C07C5C" w:rsidRPr="00C07C5C" w:rsidRDefault="00C07C5C" w:rsidP="00393BF1">
            <w:pPr>
              <w:tabs>
                <w:tab w:val="left" w:pos="174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Elmsett</w:t>
            </w:r>
            <w:proofErr w:type="spellEnd"/>
            <w:r>
              <w:rPr>
                <w:sz w:val="24"/>
                <w:szCs w:val="24"/>
              </w:rPr>
              <w:t xml:space="preserve"> Parish now has 5 locations for speed indicator signs</w:t>
            </w:r>
            <w:r w:rsidR="0025144A">
              <w:rPr>
                <w:sz w:val="24"/>
                <w:szCs w:val="24"/>
              </w:rPr>
              <w:t xml:space="preserve"> including Ipswich Road</w:t>
            </w:r>
            <w:r>
              <w:rPr>
                <w:sz w:val="24"/>
                <w:szCs w:val="24"/>
              </w:rPr>
              <w:t>.</w:t>
            </w:r>
            <w:r w:rsidR="0025144A">
              <w:rPr>
                <w:sz w:val="24"/>
                <w:szCs w:val="24"/>
              </w:rPr>
              <w:t xml:space="preserve"> Residents within the vicinity of the signs have received written </w:t>
            </w:r>
            <w:proofErr w:type="spellStart"/>
            <w:proofErr w:type="gramStart"/>
            <w:r w:rsidR="0025144A">
              <w:rPr>
                <w:sz w:val="24"/>
                <w:szCs w:val="24"/>
              </w:rPr>
              <w:t>notification.</w:t>
            </w:r>
            <w:r>
              <w:rPr>
                <w:sz w:val="24"/>
                <w:szCs w:val="24"/>
              </w:rPr>
              <w:t>The</w:t>
            </w:r>
            <w:proofErr w:type="spellEnd"/>
            <w:proofErr w:type="gramEnd"/>
            <w:r w:rsidR="0025144A">
              <w:rPr>
                <w:sz w:val="24"/>
                <w:szCs w:val="24"/>
              </w:rPr>
              <w:t xml:space="preserve"> County Council will be informed of the agreed locations. </w:t>
            </w:r>
          </w:p>
          <w:p w14:paraId="75819A6C" w14:textId="77777777" w:rsidR="000031C8" w:rsidRDefault="000031C8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</w:p>
          <w:p w14:paraId="30DCD808" w14:textId="7073B224" w:rsidR="0025144A" w:rsidRDefault="0025144A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034B3C">
              <w:rPr>
                <w:b/>
                <w:bCs/>
                <w:sz w:val="24"/>
                <w:szCs w:val="24"/>
              </w:rPr>
              <w:t>EIGHBOURHOOD WATCH</w:t>
            </w:r>
          </w:p>
          <w:p w14:paraId="2F66CA82" w14:textId="77777777" w:rsidR="00034B3C" w:rsidRDefault="00034B3C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</w:p>
          <w:p w14:paraId="107CD8CB" w14:textId="0D128BD8" w:rsidR="00034B3C" w:rsidRPr="00034B3C" w:rsidRDefault="00322FBF" w:rsidP="00393BF1">
            <w:pPr>
              <w:tabs>
                <w:tab w:val="left" w:pos="17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Neighbourhood Watch</w:t>
            </w:r>
            <w:r w:rsidR="00034B3C">
              <w:rPr>
                <w:sz w:val="24"/>
                <w:szCs w:val="24"/>
              </w:rPr>
              <w:t xml:space="preserve"> will be holding a meeting on</w:t>
            </w:r>
            <w:r w:rsidR="00EB77EE">
              <w:rPr>
                <w:sz w:val="24"/>
                <w:szCs w:val="24"/>
              </w:rPr>
              <w:t xml:space="preserve"> 10 March. Together with the Police, Trading Standards and Towan and Parish Councils to encourage safer communities and reduce Crime.</w:t>
            </w:r>
          </w:p>
          <w:p w14:paraId="063CDB80" w14:textId="77777777" w:rsidR="0025144A" w:rsidRDefault="0025144A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</w:p>
          <w:p w14:paraId="6E6E059A" w14:textId="14A7D902" w:rsidR="00393BF1" w:rsidRDefault="00D4243D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RECESS FOR PUBLIC COMMENTS</w:t>
            </w:r>
          </w:p>
          <w:p w14:paraId="28496DD8" w14:textId="77777777" w:rsidR="00D4243D" w:rsidRDefault="00D4243D" w:rsidP="00393BF1">
            <w:pPr>
              <w:tabs>
                <w:tab w:val="left" w:pos="1749"/>
              </w:tabs>
              <w:rPr>
                <w:b/>
                <w:bCs/>
                <w:sz w:val="24"/>
                <w:szCs w:val="24"/>
              </w:rPr>
            </w:pPr>
          </w:p>
          <w:p w14:paraId="72CE7A51" w14:textId="4095FE43" w:rsidR="00D4243D" w:rsidRPr="00D4243D" w:rsidRDefault="00D4243D" w:rsidP="00393BF1">
            <w:pPr>
              <w:tabs>
                <w:tab w:val="left" w:pos="17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members of the public were present.</w:t>
            </w:r>
          </w:p>
          <w:p w14:paraId="77A53730" w14:textId="77777777" w:rsidR="000D00D0" w:rsidRPr="001A6138" w:rsidRDefault="000D00D0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C3DB93" w14:textId="6D9E1595" w:rsidR="0065139C" w:rsidRDefault="00E32B77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DE-REGISTRATION OF THE VILLAGE GREE</w:t>
            </w:r>
            <w:r w:rsidR="00322FBF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N</w:t>
            </w:r>
            <w: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 xml:space="preserve"> AND NEW FOOTWAY</w:t>
            </w:r>
          </w:p>
          <w:p w14:paraId="7AFA76CF" w14:textId="77777777" w:rsidR="00E32B77" w:rsidRDefault="00E32B77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5185E12" w14:textId="6C307CF2" w:rsidR="00E32B77" w:rsidRDefault="00A674AA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lastRenderedPageBreak/>
              <w:t>The Village Green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footway scheme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is still undergoing the de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sign options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 No progress has been made since the last meeting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by SCC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</w:p>
          <w:p w14:paraId="7C6243AB" w14:textId="77777777" w:rsidR="00C81CC4" w:rsidRDefault="00C81CC4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794A567" w14:textId="14D4A5BE" w:rsidR="00C81CC4" w:rsidRPr="00C81CC4" w:rsidRDefault="00AC005C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SUCCESSION PLANNING</w:t>
            </w:r>
          </w:p>
          <w:p w14:paraId="4D8A542A" w14:textId="77777777" w:rsidR="00C81CC4" w:rsidRDefault="00C81CC4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6D50D95" w14:textId="072636DA" w:rsidR="00C81CC4" w:rsidRDefault="00780888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Regrettably three </w:t>
            </w:r>
            <w:proofErr w:type="spellStart"/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Elmsett</w:t>
            </w:r>
            <w:proofErr w:type="spellEnd"/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Parish Councillors</w:t>
            </w:r>
            <w:r w:rsidR="00D87B3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outlined their wish to resign in the next few months</w:t>
            </w:r>
            <w:r w:rsidR="00D87B3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 Councillor Fiona Watt</w:t>
            </w:r>
            <w:r w:rsidR="00322F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handed her resignation to the Chairman.</w:t>
            </w:r>
          </w:p>
          <w:p w14:paraId="2EC9EB03" w14:textId="77777777" w:rsidR="00D87B35" w:rsidRDefault="00D87B35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784899F" w14:textId="38A17C54" w:rsidR="00D87B35" w:rsidRDefault="00D20A18" w:rsidP="0585AD96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Advertising for new Councillors would </w:t>
            </w:r>
            <w:r w:rsidR="001F09A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take place in the next few months. Advi</w:t>
            </w:r>
            <w:r w:rsidR="0048690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</w:t>
            </w:r>
            <w:r w:rsidR="001F09A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</w:t>
            </w:r>
            <w:r w:rsidR="0048690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from </w:t>
            </w:r>
            <w:proofErr w:type="spellStart"/>
            <w:r w:rsidR="0048690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Barbergh</w:t>
            </w:r>
            <w:proofErr w:type="spellEnd"/>
            <w:r w:rsidR="001F09A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would be obtained on the next steps to ensure the Council remained quo</w:t>
            </w:r>
            <w:r w:rsidR="0099558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rate </w:t>
            </w:r>
            <w:r w:rsidR="00F924D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with plans put in place for continuity</w:t>
            </w:r>
            <w:r w:rsidR="00486903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financial stability</w:t>
            </w:r>
            <w:r w:rsidR="00F924D1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</w:p>
          <w:p w14:paraId="560EC0B3" w14:textId="77777777" w:rsidR="0065139C" w:rsidRDefault="0065139C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84325AD" w14:textId="1FCB51D3" w:rsidR="00D35C22" w:rsidRDefault="0585AD96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CORRESPONDENCE</w:t>
            </w:r>
          </w:p>
          <w:p w14:paraId="63090D6D" w14:textId="77777777" w:rsidR="00D35C22" w:rsidRDefault="00D35C22" w:rsidP="0585AD96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C3A01C5" w14:textId="66AB5589" w:rsidR="00C422DD" w:rsidRPr="00C422DD" w:rsidRDefault="00D638E7" w:rsidP="00360B0E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Code of Conduct – SALC have updated their </w:t>
            </w:r>
            <w:r w:rsidR="00717CFD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guidance</w:t>
            </w:r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 document. </w:t>
            </w:r>
          </w:p>
          <w:p w14:paraId="689BDBBE" w14:textId="042D20CD" w:rsidR="00C422DD" w:rsidRPr="00C422DD" w:rsidRDefault="00717CFD" w:rsidP="00360B0E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Corn Hatches Lane – There has been some concern raised </w:t>
            </w:r>
            <w:r w:rsidR="00C276E6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a</w:t>
            </w:r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bout the fibre companies work in this area. </w:t>
            </w:r>
            <w:r w:rsidR="002B3528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The road has been damaged due to heavy vehicles and </w:t>
            </w:r>
            <w:r w:rsidR="00B550CE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machinery </w:t>
            </w:r>
            <w:r w:rsidR="002B3528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undertaking the work. </w:t>
            </w:r>
            <w:r w:rsidR="00B550CE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The damage has been photographed and sent </w:t>
            </w:r>
            <w:r w:rsidR="00C276E6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to the County Council</w:t>
            </w:r>
            <w:r w:rsidR="00B550CE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. Their response is awaited. </w:t>
            </w:r>
          </w:p>
          <w:p w14:paraId="39610849" w14:textId="2DFAA179" w:rsidR="00C422DD" w:rsidRPr="00C422DD" w:rsidRDefault="00EF1650" w:rsidP="00360B0E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Charges for dog bin maintenance/emptying have increased slightly for 2025-2026.</w:t>
            </w:r>
            <w:r w:rsidR="00ED674E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 The Parish Council will have no choice but to cover the cost of the increase. </w:t>
            </w:r>
          </w:p>
          <w:p w14:paraId="2284A896" w14:textId="70819076" w:rsidR="00C422DD" w:rsidRPr="00C422DD" w:rsidRDefault="004010A9" w:rsidP="00360B0E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Hedge cutting for repeater signs has been completed.</w:t>
            </w:r>
          </w:p>
          <w:p w14:paraId="16F321ED" w14:textId="1B962A17" w:rsidR="00C422DD" w:rsidRPr="00C422DD" w:rsidRDefault="004010A9" w:rsidP="00360B0E">
            <w:pPr>
              <w:pStyle w:val="ListParagraph"/>
              <w:numPr>
                <w:ilvl w:val="0"/>
                <w:numId w:val="10"/>
              </w:numP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Elmsett</w:t>
            </w:r>
            <w:proofErr w:type="spellEnd"/>
            <w:r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 School Recycling bins will </w:t>
            </w:r>
            <w:r w:rsidR="005E0C34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all be removed except for the old clothing bin. The glass recycling point at the Rose &amp; Crown will also be r</w:t>
            </w:r>
            <w:r w:rsidR="00D67E97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emoved. This is in readiness for the roll out of the new</w:t>
            </w:r>
            <w:r w:rsidR="007322F5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 glass/card</w:t>
            </w:r>
            <w:r w:rsidR="00D67E97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r w:rsidR="007322F5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recycling bins for all Suffolk residents in May</w:t>
            </w:r>
            <w:r w:rsidR="00C276E6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>/June</w:t>
            </w:r>
            <w:r w:rsidR="007322F5"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  <w:t xml:space="preserve"> 2026.</w:t>
            </w:r>
          </w:p>
          <w:p w14:paraId="7F7FF24C" w14:textId="77777777" w:rsidR="00360B0E" w:rsidRDefault="00360B0E" w:rsidP="3AFBC86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867A579" w14:textId="3323CD18" w:rsidR="001127C5" w:rsidRDefault="3AFBC86E" w:rsidP="3AFBC86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01A6138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PLANNING;</w:t>
            </w:r>
          </w:p>
          <w:p w14:paraId="4B43DB6A" w14:textId="77777777" w:rsidR="00EA0A31" w:rsidRPr="00F02E42" w:rsidRDefault="00EA0A31" w:rsidP="3AFBC86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C601E69" w14:textId="4BD5FBC5" w:rsidR="00EA0A31" w:rsidRPr="00F02E42" w:rsidRDefault="00EA0A31" w:rsidP="3AFBC86E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F02E4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Council </w:t>
            </w:r>
            <w:r w:rsidR="007322F5" w:rsidRPr="00F02E4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noted</w:t>
            </w:r>
            <w:r w:rsidRPr="00F02E4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 following application</w:t>
            </w:r>
            <w:r w:rsidR="00F02E42" w:rsidRPr="00F02E4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;</w:t>
            </w:r>
          </w:p>
          <w:p w14:paraId="1E7B8C8C" w14:textId="77777777" w:rsidR="00CC2802" w:rsidRPr="00F02E42" w:rsidRDefault="00CC2802" w:rsidP="003B45BE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64A8FA1" w14:textId="3CA16523" w:rsidR="00C858FE" w:rsidRPr="00F02E42" w:rsidRDefault="0043748F" w:rsidP="00F02E4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02E42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DC/26/00203</w:t>
            </w:r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>Elmsett</w:t>
            </w:r>
            <w:proofErr w:type="spellEnd"/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Airfield </w:t>
            </w:r>
            <w:proofErr w:type="spellStart"/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>Whatfield</w:t>
            </w:r>
            <w:proofErr w:type="spellEnd"/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Road, </w:t>
            </w:r>
            <w:proofErr w:type="spellStart"/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>Elmsett</w:t>
            </w:r>
            <w:proofErr w:type="spellEnd"/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, IP7 6LN. </w:t>
            </w:r>
          </w:p>
          <w:p w14:paraId="0FF171A4" w14:textId="77777777" w:rsidR="00F02E42" w:rsidRPr="00F02E42" w:rsidRDefault="00F02E42" w:rsidP="00F02E42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27343E2" w14:textId="53D64625" w:rsidR="00F02E42" w:rsidRPr="00F02E42" w:rsidRDefault="00F02E42" w:rsidP="00F02E42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>The Council had no objections to the following application;</w:t>
            </w:r>
          </w:p>
          <w:p w14:paraId="7574C5FD" w14:textId="77777777" w:rsidR="00C858FE" w:rsidRPr="00F02E42" w:rsidRDefault="00C858FE" w:rsidP="00C858FE">
            <w:pPr>
              <w:ind w:left="72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BDC6516" w14:textId="159E85B6" w:rsidR="00C858FE" w:rsidRPr="00F02E42" w:rsidRDefault="0043748F" w:rsidP="00C858FE">
            <w:pPr>
              <w:ind w:left="720"/>
              <w:rPr>
                <w:b/>
                <w:bCs/>
                <w:sz w:val="24"/>
                <w:szCs w:val="24"/>
              </w:rPr>
            </w:pPr>
            <w:r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>b</w:t>
            </w:r>
            <w:r w:rsidR="00C858FE" w:rsidRPr="00F02E4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r w:rsidRPr="00F02E42">
              <w:rPr>
                <w:rStyle w:val="Emphasis"/>
                <w:b/>
                <w:bCs/>
                <w:i w:val="0"/>
                <w:iCs w:val="0"/>
                <w:sz w:val="24"/>
                <w:szCs w:val="24"/>
              </w:rPr>
              <w:t>DC</w:t>
            </w:r>
            <w:r w:rsidR="00230E4A" w:rsidRPr="00F02E42">
              <w:rPr>
                <w:rStyle w:val="Emphasis"/>
                <w:b/>
                <w:bCs/>
                <w:i w:val="0"/>
                <w:iCs w:val="0"/>
                <w:sz w:val="24"/>
                <w:szCs w:val="24"/>
              </w:rPr>
              <w:t>/25/05122</w:t>
            </w:r>
            <w:r w:rsidR="00C858FE" w:rsidRPr="00F02E42">
              <w:rPr>
                <w:rStyle w:val="Emphasis"/>
                <w:rFonts w:cs="Arial"/>
                <w:sz w:val="24"/>
                <w:szCs w:val="24"/>
              </w:rPr>
              <w:t xml:space="preserve"> </w:t>
            </w:r>
            <w:r w:rsidR="00230E4A" w:rsidRPr="00F02E42">
              <w:rPr>
                <w:color w:val="000000" w:themeColor="text1"/>
                <w:sz w:val="24"/>
                <w:szCs w:val="24"/>
              </w:rPr>
              <w:t xml:space="preserve">Holly House, Ipswich Road, </w:t>
            </w:r>
            <w:proofErr w:type="spellStart"/>
            <w:r w:rsidR="00230E4A" w:rsidRPr="00F02E42">
              <w:rPr>
                <w:color w:val="000000" w:themeColor="text1"/>
                <w:sz w:val="24"/>
                <w:szCs w:val="24"/>
              </w:rPr>
              <w:t>Elmsett</w:t>
            </w:r>
            <w:proofErr w:type="spellEnd"/>
            <w:r w:rsidR="00230E4A" w:rsidRPr="00F02E42">
              <w:rPr>
                <w:color w:val="000000" w:themeColor="text1"/>
                <w:sz w:val="24"/>
                <w:szCs w:val="24"/>
              </w:rPr>
              <w:t>, IP7 6NY</w:t>
            </w:r>
            <w:r w:rsidR="00F02E42" w:rsidRPr="00F02E42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711EBF4D" w14:textId="77777777" w:rsidR="00A72048" w:rsidRPr="001A6138" w:rsidRDefault="00A72048" w:rsidP="3AFBC86E">
            <w:pPr>
              <w:pStyle w:val="ListParagraph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</w:tr>
      <w:tr w:rsidR="00D7494A" w:rsidRPr="00D7494A" w14:paraId="46BCBDC0" w14:textId="77777777" w:rsidTr="0585AD96">
        <w:trPr>
          <w:trHeight w:val="736"/>
        </w:trPr>
        <w:tc>
          <w:tcPr>
            <w:tcW w:w="1276" w:type="dxa"/>
          </w:tcPr>
          <w:p w14:paraId="1B339972" w14:textId="2504D9ED" w:rsidR="00D7494A" w:rsidRDefault="00F02E42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lastRenderedPageBreak/>
              <w:t>02.26.13</w:t>
            </w:r>
          </w:p>
          <w:p w14:paraId="25927618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C93BB9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9053394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98628C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C096E07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0CEBBDD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609E568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4B26B45" w14:textId="77777777" w:rsidR="00E368FC" w:rsidRDefault="00E368F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B285D7C" w14:textId="77777777" w:rsidR="00F47A25" w:rsidRDefault="00F47A2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52F49C" w14:textId="77777777" w:rsidR="00F47A25" w:rsidRDefault="00F47A2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50FA1D" w14:textId="77777777" w:rsidR="00F47A25" w:rsidRDefault="00F47A2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E7EF11D" w14:textId="77777777" w:rsidR="00F418A5" w:rsidRDefault="00F418A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69814F7" w14:textId="77777777" w:rsidR="00F418A5" w:rsidRDefault="00F418A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F5D953D" w14:textId="77777777" w:rsidR="00F375C7" w:rsidRDefault="00F375C7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304A6DD" w14:textId="77777777" w:rsidR="00F375C7" w:rsidRDefault="00F375C7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BCA2184" w14:textId="4055D4CD" w:rsidR="00E368FC" w:rsidRDefault="00E368FC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5F48655" w14:textId="77777777" w:rsidR="00682740" w:rsidRPr="00D7494A" w:rsidRDefault="00682740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8AA79F3" w14:textId="72AC6704" w:rsidR="00194B99" w:rsidRDefault="0585AD96" w:rsidP="00F02E42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  <w:r w:rsidRPr="0585AD96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lastRenderedPageBreak/>
              <w:t>VILLAGE SHOP &amp; VILLAGE HALL UPDA</w:t>
            </w:r>
            <w:r w:rsidR="00026D55"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  <w:t>TE</w:t>
            </w:r>
          </w:p>
          <w:p w14:paraId="1D235EFE" w14:textId="77777777" w:rsidR="00F02E42" w:rsidRDefault="00F02E42" w:rsidP="00F02E42">
            <w:pPr>
              <w:rPr>
                <w:rStyle w:val="Emphasis"/>
                <w:rFonts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5D3CF9F" w14:textId="35C99601" w:rsidR="00F02E42" w:rsidRDefault="00DA7266" w:rsidP="00F02E42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Trading has been slow</w:t>
            </w:r>
            <w:r w:rsidR="00C276E6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er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since Christmas which is a normal retail trend for this part of the year. </w:t>
            </w:r>
            <w:r w:rsidR="00851479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Shop has been trading for a full 12 months. The shop has proved more expensive to run than initially anticipated. This is due to the </w:t>
            </w:r>
            <w:r w:rsidR="00324B1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repairs, </w:t>
            </w:r>
            <w:r w:rsidR="00AF17C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maintenance</w:t>
            </w:r>
            <w:r w:rsidR="00324B14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and </w:t>
            </w:r>
            <w:r w:rsidR="00AF17C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new refrigeration unit. </w:t>
            </w:r>
            <w:proofErr w:type="gramStart"/>
            <w:r w:rsidR="00AF17C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Overall</w:t>
            </w:r>
            <w:proofErr w:type="gramEnd"/>
            <w:r w:rsidR="00AF17C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the public have been very supportive and positive. A new </w:t>
            </w:r>
            <w:r w:rsidR="00AD517C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member of staff has been recruited as part of their Duke of Edinburgh award. </w:t>
            </w:r>
          </w:p>
          <w:p w14:paraId="36AB0776" w14:textId="4E7AA265" w:rsidR="00E7730F" w:rsidRDefault="00E7730F" w:rsidP="00F02E42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lastRenderedPageBreak/>
              <w:t>The Village Hall has</w:t>
            </w:r>
            <w:r w:rsidR="005E384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completed </w:t>
            </w:r>
            <w:r w:rsidR="007C288C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its</w:t>
            </w: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toilet refurbishment. The </w:t>
            </w:r>
            <w:r w:rsidR="00F47A2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change is very positive. The Ladies and Gents </w:t>
            </w:r>
            <w:r w:rsidR="005E384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toilets</w:t>
            </w:r>
            <w:r w:rsidR="00F47A2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have been completed. The Disabled </w:t>
            </w:r>
            <w:r w:rsidR="005E384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toilets</w:t>
            </w:r>
            <w:r w:rsidR="00F47A2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 w:rsidR="005E384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is</w:t>
            </w:r>
            <w:proofErr w:type="gramEnd"/>
            <w:r w:rsidR="005E384B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 </w:t>
            </w:r>
            <w:r w:rsidR="00F418A5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due to be completed shortly. Regular Bookings are seeing an increase with Line Dancing classes being held every Tuesday evening. </w:t>
            </w:r>
            <w:r w:rsidR="00F375C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whole project has had a positive impact on the village. </w:t>
            </w:r>
          </w:p>
          <w:p w14:paraId="5ABA4DEC" w14:textId="77777777" w:rsidR="00543AD4" w:rsidRDefault="00543AD4" w:rsidP="00F02E42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D713BCB" w14:textId="77777777" w:rsidR="007347D8" w:rsidRDefault="00543AD4" w:rsidP="00F900F5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The Village Hall Committee deserve a huge thank you for their continued effort and efficiency. </w:t>
            </w:r>
            <w:r w:rsidR="000B6402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Pauline Scott, Bob and John Gilli</w:t>
            </w:r>
            <w:r w:rsidR="00D2379C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es were </w:t>
            </w:r>
            <w:r w:rsidR="00F375C7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commended</w:t>
            </w:r>
            <w:r w:rsidR="00AA15BF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 xml:space="preserve">. </w:t>
            </w:r>
          </w:p>
          <w:p w14:paraId="564C433F" w14:textId="29635E36" w:rsidR="00F61383" w:rsidRPr="00F900F5" w:rsidRDefault="00F61383" w:rsidP="00F900F5">
            <w:pPr>
              <w:rPr>
                <w:sz w:val="24"/>
                <w:szCs w:val="24"/>
              </w:rPr>
            </w:pPr>
          </w:p>
        </w:tc>
      </w:tr>
      <w:tr w:rsidR="00D7494A" w:rsidRPr="00D7494A" w14:paraId="4E59D670" w14:textId="77777777" w:rsidTr="0585AD96">
        <w:trPr>
          <w:trHeight w:val="736"/>
        </w:trPr>
        <w:tc>
          <w:tcPr>
            <w:tcW w:w="1276" w:type="dxa"/>
          </w:tcPr>
          <w:p w14:paraId="51C83DE0" w14:textId="1C115E6C" w:rsidR="00D7494A" w:rsidRPr="00BE526E" w:rsidRDefault="00B03EC5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lastRenderedPageBreak/>
              <w:t>0</w:t>
            </w:r>
            <w:r w:rsidR="004627FB" w:rsidRPr="00BE526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2.26.14</w:t>
            </w:r>
          </w:p>
          <w:p w14:paraId="09FA8D06" w14:textId="77777777" w:rsidR="007D14F3" w:rsidRPr="00BE526E" w:rsidRDefault="007D14F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C00E011" w14:textId="77777777" w:rsidR="00501271" w:rsidRPr="00BE526E" w:rsidRDefault="00501271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8A0D18D" w14:textId="77777777" w:rsidR="005E58AC" w:rsidRPr="00BE526E" w:rsidRDefault="005E58AC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C940549" w14:textId="77777777" w:rsidR="00DE02CA" w:rsidRPr="00BE526E" w:rsidRDefault="00DE02CA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59B8D1F" w14:textId="77777777" w:rsidR="005E58AC" w:rsidRPr="00BE526E" w:rsidRDefault="005E58AC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C15DCE1" w14:textId="77777777" w:rsidR="00DA3484" w:rsidRPr="00BE526E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DC79DDF" w14:textId="77777777" w:rsidR="00DA3484" w:rsidRPr="00BE526E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0050B2" w14:textId="77777777" w:rsidR="007C0583" w:rsidRPr="00BE526E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D24B0F3" w14:textId="77777777" w:rsidR="007C0583" w:rsidRPr="00BE526E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3A556E2" w14:textId="77777777" w:rsidR="007C0583" w:rsidRPr="00BE526E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02F8A3" w14:textId="77777777" w:rsidR="007C0583" w:rsidRPr="00BE526E" w:rsidRDefault="007C0583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48AB8BD" w14:textId="77777777" w:rsidR="00B04077" w:rsidRPr="00BE526E" w:rsidRDefault="00B0407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E707829" w14:textId="77777777" w:rsidR="00DA3484" w:rsidRPr="00BE526E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BBE989C" w14:textId="77777777" w:rsidR="00040FDF" w:rsidRPr="00BE526E" w:rsidRDefault="00040FDF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9F158BC" w14:textId="77777777" w:rsidR="00040FDF" w:rsidRPr="00BE526E" w:rsidRDefault="00040FDF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AE609C0" w14:textId="77777777" w:rsidR="00040FDF" w:rsidRPr="00BE526E" w:rsidRDefault="00040FDF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0C80A69" w14:textId="476FB007" w:rsidR="00DA3484" w:rsidRPr="00BE526E" w:rsidRDefault="00DA3484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54419B7" w14:textId="77777777" w:rsidR="00C259E8" w:rsidRPr="00BE526E" w:rsidRDefault="00C259E8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09B4477" w14:textId="77777777" w:rsidR="00240DAB" w:rsidRPr="00BE526E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F9E7D69" w14:textId="77777777" w:rsidR="00240DAB" w:rsidRPr="00BE526E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E3DDDDD" w14:textId="77777777" w:rsidR="00240DAB" w:rsidRPr="00BE526E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6755462" w14:textId="77777777" w:rsidR="00240DAB" w:rsidRPr="00BE526E" w:rsidRDefault="00240DA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E32F90F" w14:textId="77777777" w:rsidR="0002238E" w:rsidRPr="00BE526E" w:rsidRDefault="0002238E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550555" w14:textId="77777777" w:rsidR="00BF0F71" w:rsidRPr="00BE526E" w:rsidRDefault="00BF0F71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08F80E6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99C7AE1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F0DF914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74E6B84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90EA8EF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97AADE0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0CB699B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2ACB80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8DFE73D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8626524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9F3C642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8CBC32C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74EDFD3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DE953F6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8882BC6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549162D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D62D820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979E686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E1223FC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FC3EA65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E38BDCC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7C9DCCC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7D1DC2" w14:textId="77777777" w:rsidR="00DC2787" w:rsidRPr="00BE526E" w:rsidRDefault="00DC2787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2"/>
                <w:szCs w:val="22"/>
              </w:rPr>
            </w:pPr>
          </w:p>
          <w:p w14:paraId="1EBA8FA8" w14:textId="15A49D32" w:rsidR="00C259E8" w:rsidRPr="00BE526E" w:rsidRDefault="00B03EC5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</w:t>
            </w:r>
            <w:r w:rsidR="00B04077" w:rsidRPr="00BE526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="00C259E8" w:rsidRPr="00BE526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.25.15</w:t>
            </w:r>
          </w:p>
          <w:p w14:paraId="7625EA95" w14:textId="77777777" w:rsidR="00C259E8" w:rsidRPr="00BE526E" w:rsidRDefault="00C259E8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A54C11" w14:textId="77777777" w:rsidR="005A555B" w:rsidRPr="00BE526E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B63FE6C" w14:textId="77777777" w:rsidR="005A555B" w:rsidRPr="00BE526E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BB15BF1" w14:textId="77777777" w:rsidR="005A555B" w:rsidRPr="00BE526E" w:rsidRDefault="005A555B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8"/>
                <w:szCs w:val="28"/>
              </w:rPr>
            </w:pPr>
          </w:p>
          <w:p w14:paraId="0E212E41" w14:textId="6AFFA327" w:rsidR="00C259E8" w:rsidRPr="00BE526E" w:rsidRDefault="00B03EC5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0</w:t>
            </w:r>
            <w:r w:rsidR="00B04077" w:rsidRPr="00BE526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2</w:t>
            </w:r>
            <w:r w:rsidR="00C259E8" w:rsidRPr="00BE526E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.25.16</w:t>
            </w:r>
          </w:p>
          <w:p w14:paraId="29F83746" w14:textId="77777777" w:rsidR="007473C9" w:rsidRPr="00BE526E" w:rsidRDefault="007473C9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6D5318" w14:textId="77777777" w:rsidR="00C259E8" w:rsidRPr="00BE526E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7199151" w14:textId="77777777" w:rsidR="00C259E8" w:rsidRPr="00BE526E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AE8A2D9" w14:textId="77777777" w:rsidR="000711BC" w:rsidRPr="00BE526E" w:rsidRDefault="000711B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69BC312D" w14:textId="77777777" w:rsidR="000711BC" w:rsidRPr="00BE526E" w:rsidRDefault="000711BC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227A8618" w14:textId="7FFFC9A6" w:rsidR="00C259E8" w:rsidRPr="00BE526E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177037C" w14:textId="77777777" w:rsidR="00C259E8" w:rsidRPr="00BE526E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DCD91CC" w14:textId="77777777" w:rsidR="00C259E8" w:rsidRPr="00BE526E" w:rsidRDefault="00C259E8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325F3293" w14:textId="77777777" w:rsidR="00460B75" w:rsidRPr="00BE526E" w:rsidRDefault="00460B7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092407B9" w14:textId="77777777" w:rsidR="00460B75" w:rsidRPr="00BE526E" w:rsidRDefault="00460B7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6490146" w14:textId="77777777" w:rsidR="00460B75" w:rsidRPr="00BE526E" w:rsidRDefault="00460B75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42E71710" w14:textId="19A66402" w:rsidR="00F94214" w:rsidRPr="00BE526E" w:rsidRDefault="00F94214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E300905" w14:textId="537372F2" w:rsidR="007473C9" w:rsidRPr="00BE526E" w:rsidRDefault="007473C9" w:rsidP="0585AD96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73D6F103" w14:textId="77777777" w:rsidR="00D7494A" w:rsidRPr="00BE526E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17E8E505" w14:textId="77777777" w:rsidR="00D7494A" w:rsidRPr="00BE526E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  <w:p w14:paraId="5CA6BE11" w14:textId="77777777" w:rsidR="00D7494A" w:rsidRPr="00BE526E" w:rsidRDefault="00D7494A" w:rsidP="3AFBC86E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5A5C8C8" w14:textId="77777777" w:rsidR="00DA3484" w:rsidRPr="00BE526E" w:rsidRDefault="003C7A67" w:rsidP="00DA3484">
            <w:pPr>
              <w:shd w:val="clear" w:color="auto" w:fill="FFFFFF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E526E">
              <w:rPr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FINANCE – ACCOUNTS DUE AND BANK RECONCILIATIONS.</w:t>
            </w:r>
          </w:p>
          <w:p w14:paraId="14146525" w14:textId="77777777" w:rsidR="004667A4" w:rsidRPr="00BE526E" w:rsidRDefault="004667A4" w:rsidP="00DA3484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</w:rPr>
            </w:pPr>
          </w:p>
          <w:p w14:paraId="349AC252" w14:textId="3E832A8B" w:rsidR="00DA3484" w:rsidRPr="00BE526E" w:rsidRDefault="00C20B26" w:rsidP="003E282E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BE526E">
              <w:rPr>
                <w:sz w:val="22"/>
                <w:szCs w:val="22"/>
              </w:rPr>
              <w:t>The Council</w:t>
            </w:r>
            <w:r w:rsidR="005E384B">
              <w:rPr>
                <w:sz w:val="22"/>
                <w:szCs w:val="22"/>
              </w:rPr>
              <w:t xml:space="preserve"> approved donation</w:t>
            </w:r>
            <w:r w:rsidRPr="00BE526E">
              <w:rPr>
                <w:sz w:val="22"/>
                <w:szCs w:val="22"/>
              </w:rPr>
              <w:t xml:space="preserve"> </w:t>
            </w:r>
            <w:r w:rsidR="005E384B">
              <w:rPr>
                <w:sz w:val="22"/>
                <w:szCs w:val="22"/>
              </w:rPr>
              <w:t>of £100</w:t>
            </w:r>
            <w:r w:rsidRPr="00BE526E">
              <w:rPr>
                <w:sz w:val="22"/>
                <w:szCs w:val="22"/>
              </w:rPr>
              <w:t xml:space="preserve"> </w:t>
            </w:r>
            <w:proofErr w:type="spellStart"/>
            <w:r w:rsidR="00A17C77">
              <w:rPr>
                <w:sz w:val="22"/>
                <w:szCs w:val="22"/>
              </w:rPr>
              <w:t>start up</w:t>
            </w:r>
            <w:proofErr w:type="spellEnd"/>
            <w:r w:rsidR="00A17C77">
              <w:rPr>
                <w:sz w:val="22"/>
                <w:szCs w:val="22"/>
              </w:rPr>
              <w:t xml:space="preserve"> costs of the</w:t>
            </w:r>
            <w:r w:rsidRPr="00BE526E">
              <w:rPr>
                <w:sz w:val="22"/>
                <w:szCs w:val="22"/>
              </w:rPr>
              <w:t xml:space="preserve"> for the Community Fish &amp; Chip lunch. </w:t>
            </w:r>
            <w:r w:rsidR="00DE37FB" w:rsidRPr="00BE526E">
              <w:rPr>
                <w:sz w:val="22"/>
                <w:szCs w:val="22"/>
              </w:rPr>
              <w:t xml:space="preserve">The Parish Council voted in favour of making the donation. </w:t>
            </w:r>
          </w:p>
          <w:p w14:paraId="47E0AA0C" w14:textId="474BCB08" w:rsidR="000A1F24" w:rsidRPr="00BE526E" w:rsidRDefault="00421DE5" w:rsidP="003E282E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BE526E">
              <w:rPr>
                <w:sz w:val="22"/>
                <w:szCs w:val="22"/>
              </w:rPr>
              <w:t>The following invoices were agreed for payment;</w:t>
            </w:r>
          </w:p>
          <w:p w14:paraId="66F24868" w14:textId="77777777" w:rsidR="002F3CF3" w:rsidRPr="00BE526E" w:rsidRDefault="002F3CF3" w:rsidP="00DA3484">
            <w:pPr>
              <w:shd w:val="clear" w:color="auto" w:fill="FFFFFF" w:themeFill="background1"/>
              <w:ind w:left="720" w:hanging="720"/>
              <w:rPr>
                <w:sz w:val="22"/>
                <w:szCs w:val="22"/>
                <w:bdr w:val="none" w:sz="0" w:space="0" w:color="auto" w:frame="1"/>
              </w:rPr>
            </w:pPr>
          </w:p>
          <w:p w14:paraId="00516B95" w14:textId="77777777" w:rsidR="00597BA8" w:rsidRPr="00BE526E" w:rsidRDefault="00597BA8" w:rsidP="00544926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</w:rPr>
            </w:pPr>
          </w:p>
          <w:tbl>
            <w:tblPr>
              <w:tblW w:w="7792" w:type="dxa"/>
              <w:tblLook w:val="04A0" w:firstRow="1" w:lastRow="0" w:firstColumn="1" w:lastColumn="0" w:noHBand="0" w:noVBand="1"/>
            </w:tblPr>
            <w:tblGrid>
              <w:gridCol w:w="1159"/>
              <w:gridCol w:w="1384"/>
              <w:gridCol w:w="880"/>
              <w:gridCol w:w="755"/>
              <w:gridCol w:w="754"/>
              <w:gridCol w:w="2860"/>
            </w:tblGrid>
            <w:tr w:rsidR="00BE526E" w:rsidRPr="00BE526E" w14:paraId="21F35715" w14:textId="77777777" w:rsidTr="00A10392">
              <w:trPr>
                <w:trHeight w:val="311"/>
              </w:trPr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DB6D9" w14:textId="77777777" w:rsidR="00544926" w:rsidRPr="00544926" w:rsidRDefault="00544926" w:rsidP="00544926">
                  <w:pPr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b/>
                      <w:bCs/>
                      <w:sz w:val="18"/>
                      <w:szCs w:val="18"/>
                      <w:lang w:eastAsia="en-GB"/>
                    </w:rPr>
                    <w:t>Company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C7F12" w14:textId="77777777" w:rsidR="00544926" w:rsidRPr="00544926" w:rsidRDefault="00544926" w:rsidP="00544926">
                  <w:pPr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b/>
                      <w:bCs/>
                      <w:sz w:val="18"/>
                      <w:szCs w:val="18"/>
                      <w:lang w:eastAsia="en-GB"/>
                    </w:rPr>
                    <w:t>Description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F3A004" w14:textId="77777777" w:rsidR="00544926" w:rsidRPr="00544926" w:rsidRDefault="00544926" w:rsidP="00544926">
                  <w:pPr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b/>
                      <w:bCs/>
                      <w:sz w:val="18"/>
                      <w:szCs w:val="18"/>
                      <w:lang w:eastAsia="en-GB"/>
                    </w:rPr>
                    <w:t>Invoice Number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EA86B" w14:textId="77777777" w:rsidR="00544926" w:rsidRPr="00544926" w:rsidRDefault="00544926" w:rsidP="00544926">
                  <w:pPr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b/>
                      <w:bCs/>
                      <w:sz w:val="18"/>
                      <w:szCs w:val="18"/>
                      <w:lang w:eastAsia="en-GB"/>
                    </w:rPr>
                    <w:t xml:space="preserve">NET 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A01185" w14:textId="77777777" w:rsidR="00544926" w:rsidRPr="00544926" w:rsidRDefault="00544926" w:rsidP="00544926">
                  <w:pPr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b/>
                      <w:bCs/>
                      <w:sz w:val="18"/>
                      <w:szCs w:val="18"/>
                      <w:lang w:eastAsia="en-GB"/>
                    </w:rPr>
                    <w:t>VAT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CD16DF" w14:textId="77777777" w:rsidR="00544926" w:rsidRPr="00544926" w:rsidRDefault="00544926" w:rsidP="00544926">
                  <w:pPr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b/>
                      <w:bCs/>
                      <w:sz w:val="18"/>
                      <w:szCs w:val="18"/>
                      <w:lang w:eastAsia="en-GB"/>
                    </w:rPr>
                    <w:t>GROSS</w:t>
                  </w:r>
                </w:p>
              </w:tc>
            </w:tr>
            <w:tr w:rsidR="00BE526E" w:rsidRPr="00BE526E" w14:paraId="360E5087" w14:textId="77777777" w:rsidTr="00A10392">
              <w:trPr>
                <w:trHeight w:val="299"/>
              </w:trPr>
              <w:tc>
                <w:tcPr>
                  <w:tcW w:w="11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093F4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Coles Garden Services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8AA85" w14:textId="5FE1E07E" w:rsidR="00544926" w:rsidRPr="00544926" w:rsidRDefault="00A17C77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>
                    <w:rPr>
                      <w:sz w:val="18"/>
                      <w:szCs w:val="18"/>
                      <w:lang w:eastAsia="en-GB"/>
                    </w:rPr>
                    <w:t>Churchyard maintenance</w:t>
                  </w:r>
                  <w:r w:rsidR="00544926" w:rsidRPr="00544926">
                    <w:rPr>
                      <w:sz w:val="18"/>
                      <w:szCs w:val="18"/>
                      <w:lang w:eastAsia="en-GB"/>
                    </w:rPr>
                    <w:t xml:space="preserve"> - PC to pay 50%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52709B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1619a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6BE4D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80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F8191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N/A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0A593C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80 (40 paid by EPC)</w:t>
                  </w:r>
                </w:p>
              </w:tc>
            </w:tr>
            <w:tr w:rsidR="00BE526E" w:rsidRPr="00BE526E" w14:paraId="07B4B1F3" w14:textId="77777777" w:rsidTr="00A10392">
              <w:trPr>
                <w:trHeight w:val="287"/>
              </w:trPr>
              <w:tc>
                <w:tcPr>
                  <w:tcW w:w="11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341CF0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Community Lunch event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7117C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DONATION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7683E9" w14:textId="6EA7121E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 </w:t>
                  </w:r>
                  <w:r w:rsidRPr="00BE526E">
                    <w:rPr>
                      <w:sz w:val="18"/>
                      <w:szCs w:val="18"/>
                      <w:lang w:eastAsia="en-GB"/>
                    </w:rPr>
                    <w:t>N/A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F4E86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N/A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42C19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100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FC5E26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100</w:t>
                  </w:r>
                </w:p>
              </w:tc>
            </w:tr>
            <w:tr w:rsidR="00BE526E" w:rsidRPr="00BE526E" w14:paraId="4435CE0D" w14:textId="77777777" w:rsidTr="00A10392">
              <w:trPr>
                <w:trHeight w:val="275"/>
              </w:trPr>
              <w:tc>
                <w:tcPr>
                  <w:tcW w:w="11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1B6F1A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Room Hire costs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81F849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Methodist Church Hall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ED912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N/A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A4522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27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AE8AA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N/A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7CAE41" w14:textId="77777777" w:rsidR="00544926" w:rsidRPr="00544926" w:rsidRDefault="00544926" w:rsidP="00544926">
                  <w:pPr>
                    <w:rPr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sz w:val="18"/>
                      <w:szCs w:val="18"/>
                      <w:lang w:eastAsia="en-GB"/>
                    </w:rPr>
                    <w:t>27</w:t>
                  </w:r>
                </w:p>
              </w:tc>
            </w:tr>
            <w:tr w:rsidR="00BE526E" w:rsidRPr="00BE526E" w14:paraId="3343FB0C" w14:textId="77777777" w:rsidTr="00A10392">
              <w:trPr>
                <w:trHeight w:val="287"/>
              </w:trPr>
              <w:tc>
                <w:tcPr>
                  <w:tcW w:w="11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EABC7" w14:textId="77777777" w:rsidR="00544926" w:rsidRPr="00544926" w:rsidRDefault="00544926" w:rsidP="00544926">
                  <w:pPr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  <w:t>Total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0D014" w14:textId="77777777" w:rsidR="00544926" w:rsidRPr="00544926" w:rsidRDefault="00544926" w:rsidP="00544926">
                  <w:pPr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B607E" w14:textId="77777777" w:rsidR="00544926" w:rsidRPr="00544926" w:rsidRDefault="00544926" w:rsidP="00544926">
                  <w:pPr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1715A" w14:textId="77777777" w:rsidR="00544926" w:rsidRPr="00544926" w:rsidRDefault="00544926" w:rsidP="00544926">
                  <w:pPr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1670A5" w14:textId="77777777" w:rsidR="00544926" w:rsidRPr="00544926" w:rsidRDefault="00544926" w:rsidP="00544926">
                  <w:pPr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rFonts w:ascii="Aptos Narrow" w:hAnsi="Aptos Narrow" w:cs="Times New Roman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1EC59F6" w14:textId="77777777" w:rsidR="00544926" w:rsidRPr="00544926" w:rsidRDefault="00544926" w:rsidP="00544926">
                  <w:pPr>
                    <w:rPr>
                      <w:rFonts w:ascii="Aptos Narrow" w:hAnsi="Aptos Narrow" w:cs="Times New Roman"/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544926">
                    <w:rPr>
                      <w:rFonts w:ascii="Aptos Narrow" w:hAnsi="Aptos Narrow" w:cs="Times New Roman"/>
                      <w:b/>
                      <w:bCs/>
                      <w:sz w:val="18"/>
                      <w:szCs w:val="18"/>
                      <w:lang w:eastAsia="en-GB"/>
                    </w:rPr>
                    <w:t>167</w:t>
                  </w:r>
                </w:p>
              </w:tc>
            </w:tr>
          </w:tbl>
          <w:p w14:paraId="77D0B60A" w14:textId="77777777" w:rsidR="002D36F1" w:rsidRPr="00BE526E" w:rsidRDefault="002D36F1" w:rsidP="00DA3484">
            <w:pPr>
              <w:shd w:val="clear" w:color="auto" w:fill="FFFFFF" w:themeFill="background1"/>
              <w:ind w:left="720" w:hanging="7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14:paraId="15E84BF0" w14:textId="77777777" w:rsidR="00797C6D" w:rsidRPr="00BE526E" w:rsidRDefault="00797C6D" w:rsidP="00DA3484">
            <w:pPr>
              <w:shd w:val="clear" w:color="auto" w:fill="FFFFFF" w:themeFill="background1"/>
              <w:ind w:left="720" w:hanging="7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14:paraId="64840F5D" w14:textId="440B225C" w:rsidR="005219E1" w:rsidRPr="00BE526E" w:rsidRDefault="007260C3" w:rsidP="007260C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</w:rPr>
            </w:pPr>
            <w:r w:rsidRPr="00BE526E">
              <w:rPr>
                <w:sz w:val="22"/>
                <w:szCs w:val="22"/>
                <w:bdr w:val="none" w:sz="0" w:space="0" w:color="auto" w:frame="1"/>
              </w:rPr>
              <w:t>The invoices received so far for the toilet refurbishment include;</w:t>
            </w:r>
          </w:p>
          <w:p w14:paraId="5E32ED3A" w14:textId="0C003406" w:rsidR="00CD2743" w:rsidRPr="00BE526E" w:rsidRDefault="00CD2743" w:rsidP="00DA3484">
            <w:pPr>
              <w:shd w:val="clear" w:color="auto" w:fill="FFFFFF" w:themeFill="background1"/>
              <w:rPr>
                <w:sz w:val="24"/>
                <w:szCs w:val="24"/>
                <w:bdr w:val="none" w:sz="0" w:space="0" w:color="auto" w:frame="1"/>
              </w:rPr>
            </w:pPr>
          </w:p>
          <w:tbl>
            <w:tblPr>
              <w:tblW w:w="7117" w:type="dxa"/>
              <w:tblLook w:val="04A0" w:firstRow="1" w:lastRow="0" w:firstColumn="1" w:lastColumn="0" w:noHBand="0" w:noVBand="1"/>
            </w:tblPr>
            <w:tblGrid>
              <w:gridCol w:w="1297"/>
              <w:gridCol w:w="2135"/>
              <w:gridCol w:w="1134"/>
              <w:gridCol w:w="850"/>
              <w:gridCol w:w="876"/>
              <w:gridCol w:w="825"/>
            </w:tblGrid>
            <w:tr w:rsidR="00BE526E" w:rsidRPr="00BE526E" w14:paraId="75D4D225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F3E33E" w14:textId="77777777" w:rsidR="00DC2787" w:rsidRPr="00DC2787" w:rsidRDefault="00DC2787" w:rsidP="00DC2787">
                  <w:pPr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>Company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1BE5A" w14:textId="77777777" w:rsidR="00DC2787" w:rsidRPr="00DC2787" w:rsidRDefault="00DC2787" w:rsidP="00DC2787">
                  <w:pPr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>Description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07436" w14:textId="77777777" w:rsidR="00DC2787" w:rsidRPr="00DC2787" w:rsidRDefault="00DC2787" w:rsidP="00DC2787">
                  <w:pPr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>Invoice Number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71C94" w14:textId="77777777" w:rsidR="00DC2787" w:rsidRPr="00DC2787" w:rsidRDefault="00DC2787" w:rsidP="00DC2787">
                  <w:pPr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 xml:space="preserve">NET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00EE4" w14:textId="77777777" w:rsidR="00DC2787" w:rsidRPr="00DC2787" w:rsidRDefault="00DC2787" w:rsidP="00DC2787">
                  <w:pPr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>VAT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8125A" w14:textId="77777777" w:rsidR="00DC2787" w:rsidRPr="00DC2787" w:rsidRDefault="00DC2787" w:rsidP="00DC2787">
                  <w:pPr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>GROSS</w:t>
                  </w:r>
                </w:p>
              </w:tc>
            </w:tr>
            <w:tr w:rsidR="00BE526E" w:rsidRPr="00BE526E" w14:paraId="633003DB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ED24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I Deacon Heating Ltd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259296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New Heating System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753F16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3310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0215FB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8101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12076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1622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24C90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9723</w:t>
                  </w:r>
                </w:p>
              </w:tc>
            </w:tr>
            <w:tr w:rsidR="00BE526E" w:rsidRPr="00BE526E" w14:paraId="6FA4B7F4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10D6B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MTY Drylining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991AE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proofErr w:type="spellStart"/>
                  <w:r w:rsidRPr="00DC2787">
                    <w:rPr>
                      <w:sz w:val="16"/>
                      <w:szCs w:val="16"/>
                      <w:lang w:eastAsia="en-GB"/>
                    </w:rPr>
                    <w:t>Elmsett</w:t>
                  </w:r>
                  <w:proofErr w:type="spellEnd"/>
                  <w:r w:rsidRPr="00DC2787">
                    <w:rPr>
                      <w:sz w:val="16"/>
                      <w:szCs w:val="16"/>
                      <w:lang w:eastAsia="en-GB"/>
                    </w:rPr>
                    <w:t xml:space="preserve"> &amp; Oldham Village Hall Ceiling replacement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6955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1491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3B9E8B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2500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E0B0C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500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3A88F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3000</w:t>
                  </w:r>
                </w:p>
              </w:tc>
            </w:tr>
            <w:tr w:rsidR="00BE526E" w:rsidRPr="00BE526E" w14:paraId="7282BD25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31F82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Reco Surfaces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9312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Building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AF883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32711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9D17F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467.38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B6A01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93.48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7AF7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560.88</w:t>
                  </w:r>
                </w:p>
              </w:tc>
            </w:tr>
            <w:tr w:rsidR="00BE526E" w:rsidRPr="00BE526E" w14:paraId="0477D94D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F23A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Screwfix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6ECF9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Building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DCE3F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A24298654206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E0CCB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22.44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FDB3A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4.49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189FF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26.93</w:t>
                  </w:r>
                </w:p>
              </w:tc>
            </w:tr>
            <w:tr w:rsidR="00BE526E" w:rsidRPr="00BE526E" w14:paraId="711119B2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8146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Amazon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935416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Toilet Roll Holders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0DB15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GB6P7D3RAEUD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589532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33.3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60630E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6.65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C4B2EE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39.95</w:t>
                  </w:r>
                </w:p>
              </w:tc>
            </w:tr>
            <w:tr w:rsidR="00BE526E" w:rsidRPr="00BE526E" w14:paraId="14B96A53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A396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Amazon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778BA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Toilet Brush holder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48D0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GB6OOEY7AEUD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35B2D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43.05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9D9D1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9.15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F9F9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52.2</w:t>
                  </w:r>
                </w:p>
              </w:tc>
            </w:tr>
            <w:tr w:rsidR="00BE526E" w:rsidRPr="00BE526E" w14:paraId="40D0F323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30B42A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Barton Electrical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C8A1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Ceiling Lights Install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9B41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9141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0E072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1845.5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356399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369.1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AA4CD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2214.6</w:t>
                  </w:r>
                </w:p>
              </w:tc>
            </w:tr>
            <w:tr w:rsidR="00BE526E" w:rsidRPr="00BE526E" w14:paraId="6B1B875B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C551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proofErr w:type="spellStart"/>
                  <w:r w:rsidRPr="00DC2787">
                    <w:rPr>
                      <w:sz w:val="16"/>
                      <w:szCs w:val="16"/>
                      <w:lang w:eastAsia="en-GB"/>
                    </w:rPr>
                    <w:t>HuwsGray</w:t>
                  </w:r>
                  <w:proofErr w:type="spellEnd"/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282E5E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Building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8780AD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SCA50874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602CFC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72.92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AAABF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14.58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941CA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87.5</w:t>
                  </w:r>
                </w:p>
              </w:tc>
            </w:tr>
            <w:tr w:rsidR="00BE526E" w:rsidRPr="00BE526E" w14:paraId="1EB040A0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4AEB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Robert Dyas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4F5150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Air Elite Door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F31B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1.223E+09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52460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NA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54E4D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NA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DAE5D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113.93</w:t>
                  </w:r>
                </w:p>
              </w:tc>
            </w:tr>
            <w:tr w:rsidR="00BE526E" w:rsidRPr="00BE526E" w14:paraId="672868A4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ABF39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Simply Plastics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ACF44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Mirrors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3E40B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SP325150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03FD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170.63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D8CF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34.13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4ED1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204.76</w:t>
                  </w:r>
                </w:p>
              </w:tc>
            </w:tr>
            <w:tr w:rsidR="00BE526E" w:rsidRPr="00BE526E" w14:paraId="65E49B60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433AE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Plumb Mate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6F219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Plumbing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F2AEE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CSH004268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2CBDA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12.36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421BC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2.47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EE50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14.83</w:t>
                  </w:r>
                </w:p>
              </w:tc>
            </w:tr>
            <w:tr w:rsidR="00BE526E" w:rsidRPr="00BE526E" w14:paraId="0BE7BAEA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99250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proofErr w:type="spellStart"/>
                  <w:r w:rsidRPr="00DC2787">
                    <w:rPr>
                      <w:sz w:val="16"/>
                      <w:szCs w:val="16"/>
                      <w:lang w:eastAsia="en-GB"/>
                    </w:rPr>
                    <w:t>HuwsGray</w:t>
                  </w:r>
                  <w:proofErr w:type="spellEnd"/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EB1C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Decorating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56C0EF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SCA50763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4801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78.52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2E872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15.7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C1B1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94.22</w:t>
                  </w:r>
                </w:p>
              </w:tc>
            </w:tr>
            <w:tr w:rsidR="00BE526E" w:rsidRPr="00BE526E" w14:paraId="49AFD852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FA650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Cut price tiles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24BA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Tile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1C3F06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7676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AA935C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NA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E4038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NA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C9A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7.66</w:t>
                  </w:r>
                </w:p>
              </w:tc>
            </w:tr>
            <w:tr w:rsidR="00BE526E" w:rsidRPr="00BE526E" w14:paraId="6A7C1067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0A94A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Cut price tiles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5ED3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Tile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9238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7690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4CAC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NA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1367B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NA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EBF4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7.66</w:t>
                  </w:r>
                </w:p>
              </w:tc>
            </w:tr>
            <w:tr w:rsidR="00BE526E" w:rsidRPr="00BE526E" w14:paraId="0F594F44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E3FEC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lastRenderedPageBreak/>
                    <w:t>Screwfix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3707EA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Building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78B46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A24691645085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6F28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39.98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F295FC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7.99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70AAE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47.97</w:t>
                  </w:r>
                </w:p>
              </w:tc>
            </w:tr>
            <w:tr w:rsidR="00BE526E" w:rsidRPr="00BE526E" w14:paraId="3EA7A540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429407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Genuine Centre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5D6D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Decorating supplies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7ED69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GB5005H69QQY11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FAF6FB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13.04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1E7C1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2.61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4B88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15.65</w:t>
                  </w:r>
                </w:p>
              </w:tc>
            </w:tr>
            <w:tr w:rsidR="00BE526E" w:rsidRPr="00BE526E" w14:paraId="24469776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7B6769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Intra Orbis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AF4D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Bins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FEA2B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7750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575C72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NA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825FAD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D36A8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20</w:t>
                  </w:r>
                </w:p>
              </w:tc>
            </w:tr>
            <w:tr w:rsidR="00BE526E" w:rsidRPr="00BE526E" w14:paraId="4B297B55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D47D5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299889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D97A9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400AB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7933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6F673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BE526E" w:rsidRPr="00BE526E" w14:paraId="1F52FE73" w14:textId="77777777" w:rsidTr="00DC2787">
              <w:trPr>
                <w:trHeight w:val="313"/>
              </w:trPr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6D58C1" w14:textId="77777777" w:rsidR="00DC2787" w:rsidRPr="00DC2787" w:rsidRDefault="00DC2787" w:rsidP="00DC2787">
                  <w:pPr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>Total Costs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F294AB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E3292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26EBB2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CF1A4" w14:textId="77777777" w:rsidR="00DC2787" w:rsidRPr="00DC2787" w:rsidRDefault="00DC2787" w:rsidP="00DC2787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3F0296" w14:textId="77777777" w:rsidR="00DC2787" w:rsidRPr="00DC2787" w:rsidRDefault="00DC2787" w:rsidP="00DC2787">
                  <w:pPr>
                    <w:jc w:val="right"/>
                    <w:rPr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DC2787">
                    <w:rPr>
                      <w:b/>
                      <w:bCs/>
                      <w:sz w:val="16"/>
                      <w:szCs w:val="16"/>
                      <w:lang w:eastAsia="en-GB"/>
                    </w:rPr>
                    <w:t>16231.7</w:t>
                  </w:r>
                </w:p>
              </w:tc>
            </w:tr>
          </w:tbl>
          <w:p w14:paraId="62C3B956" w14:textId="77777777" w:rsidR="00833683" w:rsidRPr="00BE526E" w:rsidRDefault="00833683" w:rsidP="00DA3484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</w:rPr>
            </w:pPr>
          </w:p>
          <w:p w14:paraId="09AA0E55" w14:textId="77777777" w:rsidR="003D406A" w:rsidRPr="00BE526E" w:rsidRDefault="003D406A" w:rsidP="00DA3484">
            <w:pPr>
              <w:shd w:val="clear" w:color="auto" w:fill="FFFFFF" w:themeFill="background1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14:paraId="2B9DFCB7" w14:textId="2F5D845A" w:rsidR="00B24742" w:rsidRPr="00BE526E" w:rsidRDefault="00B24742" w:rsidP="00DA3484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</w:rPr>
            </w:pPr>
            <w:r w:rsidRPr="00BE526E">
              <w:rPr>
                <w:b/>
                <w:bCs/>
                <w:sz w:val="22"/>
                <w:szCs w:val="22"/>
                <w:bdr w:val="none" w:sz="0" w:space="0" w:color="auto" w:frame="1"/>
              </w:rPr>
              <w:t>POLICY REVIEW – GRANT POLICY</w:t>
            </w:r>
          </w:p>
          <w:p w14:paraId="55F3CAF7" w14:textId="25CEA891" w:rsidR="00B24742" w:rsidRPr="00BE526E" w:rsidRDefault="00B24742" w:rsidP="00DA3484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</w:rPr>
            </w:pPr>
          </w:p>
          <w:p w14:paraId="2D467B6D" w14:textId="1ADEABE4" w:rsidR="00286838" w:rsidRPr="00BE526E" w:rsidRDefault="00286838" w:rsidP="00DA3484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</w:rPr>
            </w:pPr>
            <w:r w:rsidRPr="00BE526E">
              <w:rPr>
                <w:sz w:val="22"/>
                <w:szCs w:val="22"/>
                <w:bdr w:val="none" w:sz="0" w:space="0" w:color="auto" w:frame="1"/>
              </w:rPr>
              <w:t>The Council agreed to adopt the SALC</w:t>
            </w:r>
            <w:r w:rsidR="00A17C77">
              <w:rPr>
                <w:sz w:val="22"/>
                <w:szCs w:val="22"/>
                <w:bdr w:val="none" w:sz="0" w:space="0" w:color="auto" w:frame="1"/>
              </w:rPr>
              <w:t xml:space="preserve"> Grant</w:t>
            </w:r>
            <w:r w:rsidRPr="00BE526E">
              <w:rPr>
                <w:sz w:val="22"/>
                <w:szCs w:val="22"/>
                <w:bdr w:val="none" w:sz="0" w:space="0" w:color="auto" w:frame="1"/>
              </w:rPr>
              <w:t xml:space="preserve"> Policy</w:t>
            </w:r>
            <w:r w:rsidR="00690BC7" w:rsidRPr="00BE526E">
              <w:rPr>
                <w:sz w:val="22"/>
                <w:szCs w:val="22"/>
                <w:bdr w:val="none" w:sz="0" w:space="0" w:color="auto" w:frame="1"/>
              </w:rPr>
              <w:t xml:space="preserve"> draft and adapt it for </w:t>
            </w:r>
            <w:proofErr w:type="spellStart"/>
            <w:r w:rsidR="00690BC7" w:rsidRPr="00BE526E">
              <w:rPr>
                <w:sz w:val="22"/>
                <w:szCs w:val="22"/>
                <w:bdr w:val="none" w:sz="0" w:space="0" w:color="auto" w:frame="1"/>
              </w:rPr>
              <w:t>Elmsett</w:t>
            </w:r>
            <w:proofErr w:type="spellEnd"/>
            <w:r w:rsidR="00690BC7" w:rsidRPr="00BE526E">
              <w:rPr>
                <w:sz w:val="22"/>
                <w:szCs w:val="22"/>
                <w:bdr w:val="none" w:sz="0" w:space="0" w:color="auto" w:frame="1"/>
              </w:rPr>
              <w:t xml:space="preserve"> Parish Council’s use. </w:t>
            </w:r>
            <w:r w:rsidRPr="00BE526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092E92D9" w14:textId="77777777" w:rsidR="00B24742" w:rsidRPr="00BE526E" w:rsidRDefault="00B24742" w:rsidP="00DA3484">
            <w:pPr>
              <w:shd w:val="clear" w:color="auto" w:fill="FFFFFF" w:themeFill="background1"/>
              <w:rPr>
                <w:sz w:val="22"/>
                <w:szCs w:val="22"/>
                <w:bdr w:val="none" w:sz="0" w:space="0" w:color="auto" w:frame="1"/>
              </w:rPr>
            </w:pPr>
          </w:p>
          <w:p w14:paraId="3736369A" w14:textId="77777777" w:rsidR="00B24742" w:rsidRPr="00BE526E" w:rsidRDefault="00B24742" w:rsidP="00DA3484">
            <w:pPr>
              <w:shd w:val="clear" w:color="auto" w:fill="FFFFFF" w:themeFill="background1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14:paraId="2A507A74" w14:textId="6B74FC67" w:rsidR="00B21013" w:rsidRPr="00BE526E" w:rsidRDefault="00690BC7" w:rsidP="00DA3484">
            <w:pPr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BE526E">
              <w:rPr>
                <w:b/>
                <w:bCs/>
                <w:sz w:val="22"/>
                <w:szCs w:val="22"/>
                <w:bdr w:val="none" w:sz="0" w:space="0" w:color="auto" w:frame="1"/>
              </w:rPr>
              <w:t>DATE OF NEXT MEETING</w:t>
            </w:r>
            <w:r w:rsidR="00A17C77">
              <w:rPr>
                <w:b/>
                <w:bCs/>
                <w:sz w:val="22"/>
                <w:szCs w:val="22"/>
                <w:bdr w:val="none" w:sz="0" w:space="0" w:color="auto" w:frame="1"/>
              </w:rPr>
              <w:t>S</w:t>
            </w:r>
          </w:p>
          <w:p w14:paraId="7494B699" w14:textId="472E6562" w:rsidR="00B21013" w:rsidRPr="00BE526E" w:rsidRDefault="00B21013" w:rsidP="00690BC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082E0C03" w14:textId="781BF049" w:rsidR="00B21013" w:rsidRPr="00BE526E" w:rsidRDefault="00DA3484" w:rsidP="00DA3484">
            <w:pPr>
              <w:shd w:val="clear" w:color="auto" w:fill="FFFFFF" w:themeFill="background1"/>
              <w:ind w:left="720"/>
              <w:rPr>
                <w:sz w:val="24"/>
                <w:szCs w:val="24"/>
              </w:rPr>
            </w:pPr>
            <w:r w:rsidRPr="00BE526E">
              <w:rPr>
                <w:sz w:val="24"/>
                <w:szCs w:val="24"/>
              </w:rPr>
              <w:t>7 April</w:t>
            </w:r>
            <w:r w:rsidR="00690BC7" w:rsidRPr="00BE526E">
              <w:rPr>
                <w:sz w:val="24"/>
                <w:szCs w:val="24"/>
              </w:rPr>
              <w:t xml:space="preserve"> </w:t>
            </w:r>
            <w:r w:rsidR="00A66609" w:rsidRPr="00BE526E">
              <w:rPr>
                <w:sz w:val="24"/>
                <w:szCs w:val="24"/>
              </w:rPr>
              <w:t>Annual Parish Council Meeting,</w:t>
            </w:r>
          </w:p>
          <w:p w14:paraId="698F8F73" w14:textId="6E8BA822" w:rsidR="00B21013" w:rsidRPr="00BE526E" w:rsidRDefault="00DA3484" w:rsidP="00DA3484">
            <w:pPr>
              <w:shd w:val="clear" w:color="auto" w:fill="FFFFFF" w:themeFill="background1"/>
              <w:ind w:left="720"/>
              <w:rPr>
                <w:sz w:val="24"/>
                <w:szCs w:val="24"/>
              </w:rPr>
            </w:pPr>
            <w:r w:rsidRPr="00BE526E">
              <w:rPr>
                <w:sz w:val="24"/>
                <w:szCs w:val="24"/>
              </w:rPr>
              <w:t xml:space="preserve">12 May </w:t>
            </w:r>
            <w:r w:rsidR="00A66609" w:rsidRPr="00BE526E">
              <w:rPr>
                <w:sz w:val="24"/>
                <w:szCs w:val="24"/>
              </w:rPr>
              <w:t>Annual General Meeting</w:t>
            </w:r>
          </w:p>
          <w:p w14:paraId="016542EB" w14:textId="77777777" w:rsidR="00F94214" w:rsidRPr="00BE526E" w:rsidRDefault="00F94214" w:rsidP="003954C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24C4F34F" w14:textId="77777777" w:rsidR="00F94214" w:rsidRPr="00BE526E" w:rsidRDefault="00F94214" w:rsidP="00F942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29EBEF1F" w14:textId="1C0B5A18" w:rsidR="00017439" w:rsidRPr="00BE526E" w:rsidRDefault="003D406A" w:rsidP="00B2101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E526E">
              <w:rPr>
                <w:sz w:val="22"/>
                <w:szCs w:val="22"/>
              </w:rPr>
              <w:t xml:space="preserve">The Chairman thanked everyone for coming and </w:t>
            </w:r>
            <w:r w:rsidR="00F94214" w:rsidRPr="00BE526E">
              <w:rPr>
                <w:sz w:val="22"/>
                <w:szCs w:val="22"/>
              </w:rPr>
              <w:t>CLOSE</w:t>
            </w:r>
            <w:r w:rsidRPr="00BE526E">
              <w:rPr>
                <w:sz w:val="22"/>
                <w:szCs w:val="22"/>
              </w:rPr>
              <w:t>D</w:t>
            </w:r>
            <w:r w:rsidR="00F94214" w:rsidRPr="00BE526E">
              <w:rPr>
                <w:sz w:val="22"/>
                <w:szCs w:val="22"/>
              </w:rPr>
              <w:t xml:space="preserve"> OF MEETING; </w:t>
            </w:r>
            <w:r w:rsidR="003954C7" w:rsidRPr="00BE526E">
              <w:rPr>
                <w:sz w:val="22"/>
                <w:szCs w:val="22"/>
              </w:rPr>
              <w:t>8.</w:t>
            </w:r>
            <w:r w:rsidR="00992E28" w:rsidRPr="00BE526E">
              <w:rPr>
                <w:sz w:val="22"/>
                <w:szCs w:val="22"/>
              </w:rPr>
              <w:t>20</w:t>
            </w:r>
            <w:r w:rsidR="003954C7" w:rsidRPr="00BE526E">
              <w:rPr>
                <w:sz w:val="22"/>
                <w:szCs w:val="22"/>
              </w:rPr>
              <w:t>PM</w:t>
            </w:r>
          </w:p>
          <w:tbl>
            <w:tblPr>
              <w:tblW w:w="1219" w:type="dxa"/>
              <w:tblLook w:val="04A0" w:firstRow="1" w:lastRow="0" w:firstColumn="1" w:lastColumn="0" w:noHBand="0" w:noVBand="1"/>
            </w:tblPr>
            <w:tblGrid>
              <w:gridCol w:w="1219"/>
            </w:tblGrid>
            <w:tr w:rsidR="00BE526E" w:rsidRPr="00BE526E" w14:paraId="738BB5F7" w14:textId="77777777" w:rsidTr="007473C9">
              <w:trPr>
                <w:trHeight w:val="288"/>
              </w:trPr>
              <w:tc>
                <w:tcPr>
                  <w:tcW w:w="1219" w:type="dxa"/>
                </w:tcPr>
                <w:p w14:paraId="5B414F4A" w14:textId="77777777" w:rsidR="007473C9" w:rsidRPr="00BE526E" w:rsidRDefault="007473C9" w:rsidP="00291A84">
                  <w:pPr>
                    <w:rPr>
                      <w:lang w:eastAsia="en-GB"/>
                    </w:rPr>
                  </w:pPr>
                </w:p>
              </w:tc>
            </w:tr>
          </w:tbl>
          <w:p w14:paraId="51D0B26D" w14:textId="425B3368" w:rsidR="00D7494A" w:rsidRPr="00BE526E" w:rsidRDefault="00D7494A" w:rsidP="3AFBC86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7494A" w:rsidRPr="00D7494A" w14:paraId="18C6DF48" w14:textId="77777777" w:rsidTr="0585AD96">
        <w:trPr>
          <w:trHeight w:val="619"/>
        </w:trPr>
        <w:tc>
          <w:tcPr>
            <w:tcW w:w="1276" w:type="dxa"/>
          </w:tcPr>
          <w:p w14:paraId="1BE01863" w14:textId="0BF86248" w:rsidR="00D7494A" w:rsidRPr="00D7494A" w:rsidRDefault="00D7494A" w:rsidP="00291A84">
            <w:pPr>
              <w:ind w:right="-113"/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99F16B0" w14:textId="77777777" w:rsidR="00D7494A" w:rsidRPr="00D7494A" w:rsidRDefault="00D7494A" w:rsidP="00291A84">
            <w:pPr>
              <w:tabs>
                <w:tab w:val="left" w:pos="0"/>
              </w:tabs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proofErr w:type="gramStart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Signed:-</w:t>
            </w:r>
            <w:proofErr w:type="gramEnd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………………………</w:t>
            </w:r>
            <w:proofErr w:type="gramStart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…..</w:t>
            </w:r>
            <w:proofErr w:type="gramEnd"/>
            <w:r w:rsidRPr="00D7494A">
              <w:rPr>
                <w:rStyle w:val="Emphasis"/>
                <w:rFonts w:cs="Arial"/>
                <w:i w:val="0"/>
                <w:iCs w:val="0"/>
              </w:rPr>
              <w:tab/>
            </w:r>
            <w:proofErr w:type="gramStart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Dated:-..</w:t>
            </w:r>
            <w:proofErr w:type="gramEnd"/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………………….</w:t>
            </w:r>
          </w:p>
          <w:p w14:paraId="17364A23" w14:textId="77777777" w:rsidR="00D7494A" w:rsidRPr="00D7494A" w:rsidRDefault="00D7494A" w:rsidP="00291A84">
            <w:pPr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</w:pPr>
            <w:r w:rsidRPr="00D7494A">
              <w:rPr>
                <w:rStyle w:val="Emphasis"/>
                <w:rFonts w:cs="Arial"/>
                <w:i w:val="0"/>
                <w:iCs w:val="0"/>
              </w:rPr>
              <w:tab/>
            </w:r>
            <w:r w:rsidRPr="00D7494A">
              <w:rPr>
                <w:rStyle w:val="Emphasis"/>
                <w:rFonts w:cs="Arial"/>
                <w:i w:val="0"/>
                <w:iCs w:val="0"/>
              </w:rPr>
              <w:tab/>
            </w:r>
            <w:r w:rsidRPr="00D7494A">
              <w:rPr>
                <w:rStyle w:val="Emphasis"/>
                <w:rFonts w:cs="Arial"/>
                <w:i w:val="0"/>
                <w:iCs w:val="0"/>
                <w:sz w:val="24"/>
                <w:szCs w:val="24"/>
              </w:rPr>
              <w:t>Chairman</w:t>
            </w:r>
          </w:p>
        </w:tc>
      </w:tr>
    </w:tbl>
    <w:p w14:paraId="20709A56" w14:textId="7FB8E089" w:rsidR="000B6202" w:rsidRDefault="000B6202" w:rsidP="005219E1"/>
    <w:sectPr w:rsidR="000B6202" w:rsidSect="00D7494A">
      <w:headerReference w:type="default" r:id="rId8"/>
      <w:footerReference w:type="default" r:id="rId9"/>
      <w:pgSz w:w="11906" w:h="16838" w:code="9"/>
      <w:pgMar w:top="127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9D49" w14:textId="77777777" w:rsidR="00807325" w:rsidRDefault="00807325">
      <w:r>
        <w:separator/>
      </w:r>
    </w:p>
  </w:endnote>
  <w:endnote w:type="continuationSeparator" w:id="0">
    <w:p w14:paraId="7729CA0E" w14:textId="77777777" w:rsidR="00807325" w:rsidRDefault="0080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BC86E" w14:paraId="48BB969A" w14:textId="77777777" w:rsidTr="3AFBC86E">
      <w:trPr>
        <w:trHeight w:val="300"/>
      </w:trPr>
      <w:tc>
        <w:tcPr>
          <w:tcW w:w="3005" w:type="dxa"/>
        </w:tcPr>
        <w:p w14:paraId="71C49AC0" w14:textId="77777777" w:rsidR="3AFBC86E" w:rsidRDefault="3AFBC86E" w:rsidP="3AFBC86E">
          <w:pPr>
            <w:pStyle w:val="Header"/>
            <w:ind w:left="-115"/>
          </w:pPr>
        </w:p>
      </w:tc>
      <w:tc>
        <w:tcPr>
          <w:tcW w:w="3005" w:type="dxa"/>
        </w:tcPr>
        <w:p w14:paraId="1E71B5B5" w14:textId="77777777" w:rsidR="3AFBC86E" w:rsidRDefault="3AFBC86E" w:rsidP="3AFBC86E">
          <w:pPr>
            <w:pStyle w:val="Header"/>
            <w:jc w:val="center"/>
          </w:pPr>
        </w:p>
      </w:tc>
      <w:tc>
        <w:tcPr>
          <w:tcW w:w="3005" w:type="dxa"/>
        </w:tcPr>
        <w:p w14:paraId="0B54A145" w14:textId="77777777" w:rsidR="3AFBC86E" w:rsidRDefault="3AFBC86E" w:rsidP="3AFBC86E">
          <w:pPr>
            <w:pStyle w:val="Header"/>
            <w:ind w:right="-115"/>
            <w:jc w:val="right"/>
          </w:pPr>
        </w:p>
      </w:tc>
    </w:tr>
  </w:tbl>
  <w:p w14:paraId="5F8D772C" w14:textId="77777777" w:rsidR="3AFBC86E" w:rsidRDefault="3AFBC86E" w:rsidP="3AFBC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C8D1" w14:textId="77777777" w:rsidR="00807325" w:rsidRDefault="00807325">
      <w:r>
        <w:separator/>
      </w:r>
    </w:p>
  </w:footnote>
  <w:footnote w:type="continuationSeparator" w:id="0">
    <w:p w14:paraId="7A9498A6" w14:textId="77777777" w:rsidR="00807325" w:rsidRDefault="0080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BC86E" w14:paraId="676FAE88" w14:textId="77777777" w:rsidTr="3AFBC86E">
      <w:trPr>
        <w:trHeight w:val="300"/>
      </w:trPr>
      <w:tc>
        <w:tcPr>
          <w:tcW w:w="3005" w:type="dxa"/>
        </w:tcPr>
        <w:p w14:paraId="09D9DA8B" w14:textId="77777777" w:rsidR="3AFBC86E" w:rsidRDefault="3AFBC86E" w:rsidP="3AFBC86E">
          <w:pPr>
            <w:pStyle w:val="Header"/>
            <w:ind w:left="-115"/>
          </w:pPr>
        </w:p>
      </w:tc>
      <w:tc>
        <w:tcPr>
          <w:tcW w:w="3005" w:type="dxa"/>
        </w:tcPr>
        <w:p w14:paraId="05A1B721" w14:textId="77777777" w:rsidR="3AFBC86E" w:rsidRDefault="3AFBC86E" w:rsidP="3AFBC86E">
          <w:pPr>
            <w:pStyle w:val="Header"/>
            <w:jc w:val="center"/>
          </w:pPr>
        </w:p>
      </w:tc>
      <w:tc>
        <w:tcPr>
          <w:tcW w:w="3005" w:type="dxa"/>
        </w:tcPr>
        <w:p w14:paraId="27FB1C0C" w14:textId="77777777" w:rsidR="3AFBC86E" w:rsidRDefault="3AFBC86E" w:rsidP="3AFBC86E">
          <w:pPr>
            <w:pStyle w:val="Header"/>
            <w:ind w:right="-115"/>
            <w:jc w:val="right"/>
          </w:pPr>
        </w:p>
      </w:tc>
    </w:tr>
  </w:tbl>
  <w:p w14:paraId="42877DC2" w14:textId="77777777" w:rsidR="3AFBC86E" w:rsidRDefault="3AFBC86E" w:rsidP="3AFBC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2C9"/>
    <w:multiLevelType w:val="hybridMultilevel"/>
    <w:tmpl w:val="FFFFFFFF"/>
    <w:lvl w:ilvl="0" w:tplc="603693A8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E1176"/>
    <w:multiLevelType w:val="hybridMultilevel"/>
    <w:tmpl w:val="FFFFFFFF"/>
    <w:lvl w:ilvl="0" w:tplc="F048908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A660B2"/>
    <w:multiLevelType w:val="hybridMultilevel"/>
    <w:tmpl w:val="FFFFFFFF"/>
    <w:lvl w:ilvl="0" w:tplc="350EE8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3682"/>
    <w:multiLevelType w:val="hybridMultilevel"/>
    <w:tmpl w:val="FFFFFFFF"/>
    <w:lvl w:ilvl="0" w:tplc="E1FC02C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1BE2"/>
    <w:multiLevelType w:val="hybridMultilevel"/>
    <w:tmpl w:val="FFFFFFFF"/>
    <w:lvl w:ilvl="0" w:tplc="BAD2B6B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E7AB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22B31"/>
    <w:multiLevelType w:val="hybridMultilevel"/>
    <w:tmpl w:val="FFFFFFFF"/>
    <w:lvl w:ilvl="0" w:tplc="45F8D1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E54B62"/>
    <w:multiLevelType w:val="hybridMultilevel"/>
    <w:tmpl w:val="FFFFFFFF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5D6944F8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F12A7A"/>
    <w:multiLevelType w:val="hybridMultilevel"/>
    <w:tmpl w:val="FFFFFFFF"/>
    <w:lvl w:ilvl="0" w:tplc="350EE8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D5C58"/>
    <w:multiLevelType w:val="hybridMultilevel"/>
    <w:tmpl w:val="E2E06BEE"/>
    <w:lvl w:ilvl="0" w:tplc="21C03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896420">
    <w:abstractNumId w:val="4"/>
  </w:num>
  <w:num w:numId="2" w16cid:durableId="795678019">
    <w:abstractNumId w:val="5"/>
  </w:num>
  <w:num w:numId="3" w16cid:durableId="1806655637">
    <w:abstractNumId w:val="1"/>
  </w:num>
  <w:num w:numId="4" w16cid:durableId="1899778066">
    <w:abstractNumId w:val="8"/>
  </w:num>
  <w:num w:numId="5" w16cid:durableId="379013347">
    <w:abstractNumId w:val="7"/>
  </w:num>
  <w:num w:numId="6" w16cid:durableId="1660037959">
    <w:abstractNumId w:val="3"/>
  </w:num>
  <w:num w:numId="7" w16cid:durableId="1999189401">
    <w:abstractNumId w:val="0"/>
  </w:num>
  <w:num w:numId="8" w16cid:durableId="1749108888">
    <w:abstractNumId w:val="9"/>
  </w:num>
  <w:num w:numId="9" w16cid:durableId="969700452">
    <w:abstractNumId w:val="2"/>
  </w:num>
  <w:num w:numId="10" w16cid:durableId="44179015">
    <w:abstractNumId w:val="6"/>
  </w:num>
  <w:num w:numId="11" w16cid:durableId="1456168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4A"/>
    <w:rsid w:val="00002347"/>
    <w:rsid w:val="000031C8"/>
    <w:rsid w:val="00005602"/>
    <w:rsid w:val="00007304"/>
    <w:rsid w:val="00011847"/>
    <w:rsid w:val="0001487A"/>
    <w:rsid w:val="00015539"/>
    <w:rsid w:val="00015E71"/>
    <w:rsid w:val="00016A4F"/>
    <w:rsid w:val="00017439"/>
    <w:rsid w:val="000210BA"/>
    <w:rsid w:val="00021F79"/>
    <w:rsid w:val="0002238E"/>
    <w:rsid w:val="00023102"/>
    <w:rsid w:val="00024036"/>
    <w:rsid w:val="00026D55"/>
    <w:rsid w:val="0003040A"/>
    <w:rsid w:val="000322DB"/>
    <w:rsid w:val="00034A3A"/>
    <w:rsid w:val="00034B3C"/>
    <w:rsid w:val="00040FDF"/>
    <w:rsid w:val="0004465F"/>
    <w:rsid w:val="000464DB"/>
    <w:rsid w:val="00046EEA"/>
    <w:rsid w:val="00047FDF"/>
    <w:rsid w:val="00052502"/>
    <w:rsid w:val="0006213D"/>
    <w:rsid w:val="0006639F"/>
    <w:rsid w:val="00066603"/>
    <w:rsid w:val="000711BC"/>
    <w:rsid w:val="00072914"/>
    <w:rsid w:val="000746C3"/>
    <w:rsid w:val="00075FA3"/>
    <w:rsid w:val="000762DF"/>
    <w:rsid w:val="000772C7"/>
    <w:rsid w:val="000777DA"/>
    <w:rsid w:val="00086995"/>
    <w:rsid w:val="00091397"/>
    <w:rsid w:val="00091943"/>
    <w:rsid w:val="000920ED"/>
    <w:rsid w:val="00095239"/>
    <w:rsid w:val="00095884"/>
    <w:rsid w:val="00097BC3"/>
    <w:rsid w:val="000A0F2A"/>
    <w:rsid w:val="000A1F24"/>
    <w:rsid w:val="000B0CE5"/>
    <w:rsid w:val="000B290F"/>
    <w:rsid w:val="000B5120"/>
    <w:rsid w:val="000B6202"/>
    <w:rsid w:val="000B6402"/>
    <w:rsid w:val="000D00D0"/>
    <w:rsid w:val="000D2E28"/>
    <w:rsid w:val="000D5626"/>
    <w:rsid w:val="000D65DD"/>
    <w:rsid w:val="000E4DD3"/>
    <w:rsid w:val="000E5A3F"/>
    <w:rsid w:val="000E7D03"/>
    <w:rsid w:val="000F0626"/>
    <w:rsid w:val="000F2990"/>
    <w:rsid w:val="000F30F7"/>
    <w:rsid w:val="000F50B6"/>
    <w:rsid w:val="000F66AB"/>
    <w:rsid w:val="00102278"/>
    <w:rsid w:val="00103F25"/>
    <w:rsid w:val="0010418C"/>
    <w:rsid w:val="001127C5"/>
    <w:rsid w:val="0011688A"/>
    <w:rsid w:val="00120ECE"/>
    <w:rsid w:val="0012221F"/>
    <w:rsid w:val="0012242A"/>
    <w:rsid w:val="00122C46"/>
    <w:rsid w:val="00124FA9"/>
    <w:rsid w:val="0013403E"/>
    <w:rsid w:val="00144DCB"/>
    <w:rsid w:val="00147216"/>
    <w:rsid w:val="00151C4A"/>
    <w:rsid w:val="001521C2"/>
    <w:rsid w:val="00154611"/>
    <w:rsid w:val="0015696E"/>
    <w:rsid w:val="001630C6"/>
    <w:rsid w:val="00163432"/>
    <w:rsid w:val="00172E1C"/>
    <w:rsid w:val="00174C6D"/>
    <w:rsid w:val="00177C02"/>
    <w:rsid w:val="00180541"/>
    <w:rsid w:val="00180740"/>
    <w:rsid w:val="00182655"/>
    <w:rsid w:val="00182AC6"/>
    <w:rsid w:val="00182DA3"/>
    <w:rsid w:val="0018483B"/>
    <w:rsid w:val="00186FAD"/>
    <w:rsid w:val="00192619"/>
    <w:rsid w:val="00192CB0"/>
    <w:rsid w:val="00194B99"/>
    <w:rsid w:val="001A013A"/>
    <w:rsid w:val="001A6138"/>
    <w:rsid w:val="001B087D"/>
    <w:rsid w:val="001B4E44"/>
    <w:rsid w:val="001B66A5"/>
    <w:rsid w:val="001C7881"/>
    <w:rsid w:val="001D10B9"/>
    <w:rsid w:val="001D784E"/>
    <w:rsid w:val="001E0C68"/>
    <w:rsid w:val="001E4C52"/>
    <w:rsid w:val="001E56DC"/>
    <w:rsid w:val="001F09AB"/>
    <w:rsid w:val="001F114C"/>
    <w:rsid w:val="001F2A8D"/>
    <w:rsid w:val="001F4CF7"/>
    <w:rsid w:val="001F68FA"/>
    <w:rsid w:val="00200C7C"/>
    <w:rsid w:val="00205941"/>
    <w:rsid w:val="00210174"/>
    <w:rsid w:val="002155ED"/>
    <w:rsid w:val="0022420E"/>
    <w:rsid w:val="00227D04"/>
    <w:rsid w:val="00230E4A"/>
    <w:rsid w:val="00232D8E"/>
    <w:rsid w:val="00233E38"/>
    <w:rsid w:val="00240DAB"/>
    <w:rsid w:val="00241383"/>
    <w:rsid w:val="00241A00"/>
    <w:rsid w:val="00241AC4"/>
    <w:rsid w:val="00247636"/>
    <w:rsid w:val="0025144A"/>
    <w:rsid w:val="00251607"/>
    <w:rsid w:val="0025216A"/>
    <w:rsid w:val="0025219D"/>
    <w:rsid w:val="00253749"/>
    <w:rsid w:val="00257AF7"/>
    <w:rsid w:val="0026272F"/>
    <w:rsid w:val="00272CCB"/>
    <w:rsid w:val="00272D14"/>
    <w:rsid w:val="002776FA"/>
    <w:rsid w:val="002833C2"/>
    <w:rsid w:val="00283E35"/>
    <w:rsid w:val="00285A21"/>
    <w:rsid w:val="00286838"/>
    <w:rsid w:val="00291A84"/>
    <w:rsid w:val="0029345D"/>
    <w:rsid w:val="002A1C66"/>
    <w:rsid w:val="002A276B"/>
    <w:rsid w:val="002A27C6"/>
    <w:rsid w:val="002A3A98"/>
    <w:rsid w:val="002A3D38"/>
    <w:rsid w:val="002A4178"/>
    <w:rsid w:val="002A5B55"/>
    <w:rsid w:val="002B046F"/>
    <w:rsid w:val="002B3528"/>
    <w:rsid w:val="002B41B5"/>
    <w:rsid w:val="002C0285"/>
    <w:rsid w:val="002C3EB1"/>
    <w:rsid w:val="002D20ED"/>
    <w:rsid w:val="002D2C34"/>
    <w:rsid w:val="002D2C5A"/>
    <w:rsid w:val="002D3568"/>
    <w:rsid w:val="002D36F1"/>
    <w:rsid w:val="002D43DD"/>
    <w:rsid w:val="002D44A8"/>
    <w:rsid w:val="002D4FC8"/>
    <w:rsid w:val="002D5E7F"/>
    <w:rsid w:val="002D6329"/>
    <w:rsid w:val="002D6CD7"/>
    <w:rsid w:val="002D6DDC"/>
    <w:rsid w:val="002F3CF3"/>
    <w:rsid w:val="002F3E01"/>
    <w:rsid w:val="002F455D"/>
    <w:rsid w:val="00303EF3"/>
    <w:rsid w:val="00306D06"/>
    <w:rsid w:val="0030729B"/>
    <w:rsid w:val="00307985"/>
    <w:rsid w:val="00310753"/>
    <w:rsid w:val="00312338"/>
    <w:rsid w:val="0031242E"/>
    <w:rsid w:val="00312CE3"/>
    <w:rsid w:val="00321F8B"/>
    <w:rsid w:val="00322FBF"/>
    <w:rsid w:val="00323888"/>
    <w:rsid w:val="00324B14"/>
    <w:rsid w:val="00324EF0"/>
    <w:rsid w:val="00325BE4"/>
    <w:rsid w:val="00326B04"/>
    <w:rsid w:val="003314A6"/>
    <w:rsid w:val="00332D9A"/>
    <w:rsid w:val="00333448"/>
    <w:rsid w:val="00336744"/>
    <w:rsid w:val="003405D7"/>
    <w:rsid w:val="00340650"/>
    <w:rsid w:val="0034083C"/>
    <w:rsid w:val="00343D22"/>
    <w:rsid w:val="0034589F"/>
    <w:rsid w:val="00345D8C"/>
    <w:rsid w:val="00350314"/>
    <w:rsid w:val="0035164B"/>
    <w:rsid w:val="003531CA"/>
    <w:rsid w:val="0035664A"/>
    <w:rsid w:val="00360B0E"/>
    <w:rsid w:val="003723D3"/>
    <w:rsid w:val="00380CF3"/>
    <w:rsid w:val="003927BB"/>
    <w:rsid w:val="00392A78"/>
    <w:rsid w:val="00393BF1"/>
    <w:rsid w:val="00394688"/>
    <w:rsid w:val="003954C7"/>
    <w:rsid w:val="003A05D6"/>
    <w:rsid w:val="003A0C81"/>
    <w:rsid w:val="003A10BE"/>
    <w:rsid w:val="003A1EF8"/>
    <w:rsid w:val="003A4D07"/>
    <w:rsid w:val="003B3D92"/>
    <w:rsid w:val="003B45BE"/>
    <w:rsid w:val="003C092F"/>
    <w:rsid w:val="003C1BC9"/>
    <w:rsid w:val="003C2DC2"/>
    <w:rsid w:val="003C4DC1"/>
    <w:rsid w:val="003C6253"/>
    <w:rsid w:val="003C7A67"/>
    <w:rsid w:val="003D1802"/>
    <w:rsid w:val="003D2900"/>
    <w:rsid w:val="003D37C0"/>
    <w:rsid w:val="003D406A"/>
    <w:rsid w:val="003D4EE8"/>
    <w:rsid w:val="003D5248"/>
    <w:rsid w:val="003E282E"/>
    <w:rsid w:val="003E5289"/>
    <w:rsid w:val="003E7B82"/>
    <w:rsid w:val="003F2C11"/>
    <w:rsid w:val="003F4968"/>
    <w:rsid w:val="003F650C"/>
    <w:rsid w:val="003F719A"/>
    <w:rsid w:val="003F7641"/>
    <w:rsid w:val="004000E4"/>
    <w:rsid w:val="0040050C"/>
    <w:rsid w:val="00400B1B"/>
    <w:rsid w:val="004010A9"/>
    <w:rsid w:val="0040449F"/>
    <w:rsid w:val="004071DC"/>
    <w:rsid w:val="00410FB8"/>
    <w:rsid w:val="004120DB"/>
    <w:rsid w:val="0041603F"/>
    <w:rsid w:val="00421D55"/>
    <w:rsid w:val="00421DE5"/>
    <w:rsid w:val="00421E17"/>
    <w:rsid w:val="00422507"/>
    <w:rsid w:val="0042783C"/>
    <w:rsid w:val="00430490"/>
    <w:rsid w:val="004342BD"/>
    <w:rsid w:val="00435E0C"/>
    <w:rsid w:val="00436492"/>
    <w:rsid w:val="0043748F"/>
    <w:rsid w:val="00442F0B"/>
    <w:rsid w:val="00443298"/>
    <w:rsid w:val="00445F28"/>
    <w:rsid w:val="004519BA"/>
    <w:rsid w:val="00460B75"/>
    <w:rsid w:val="004627FB"/>
    <w:rsid w:val="004639CF"/>
    <w:rsid w:val="00465BFA"/>
    <w:rsid w:val="004667A4"/>
    <w:rsid w:val="004712BA"/>
    <w:rsid w:val="00471967"/>
    <w:rsid w:val="004749DA"/>
    <w:rsid w:val="00475584"/>
    <w:rsid w:val="00476A99"/>
    <w:rsid w:val="0047717D"/>
    <w:rsid w:val="00482807"/>
    <w:rsid w:val="00485062"/>
    <w:rsid w:val="00486903"/>
    <w:rsid w:val="00487638"/>
    <w:rsid w:val="00487CDF"/>
    <w:rsid w:val="0049248B"/>
    <w:rsid w:val="004A08EB"/>
    <w:rsid w:val="004A2DD5"/>
    <w:rsid w:val="004A496E"/>
    <w:rsid w:val="004A5C7A"/>
    <w:rsid w:val="004A7E9F"/>
    <w:rsid w:val="004B0B66"/>
    <w:rsid w:val="004B1FF4"/>
    <w:rsid w:val="004B294B"/>
    <w:rsid w:val="004B4647"/>
    <w:rsid w:val="004C2CE0"/>
    <w:rsid w:val="004C4C57"/>
    <w:rsid w:val="004C4EB8"/>
    <w:rsid w:val="004D015C"/>
    <w:rsid w:val="004D10C6"/>
    <w:rsid w:val="004D155E"/>
    <w:rsid w:val="004D2870"/>
    <w:rsid w:val="004D6EFC"/>
    <w:rsid w:val="004E2A39"/>
    <w:rsid w:val="004F12A1"/>
    <w:rsid w:val="004F7882"/>
    <w:rsid w:val="00501271"/>
    <w:rsid w:val="00506435"/>
    <w:rsid w:val="00506D7C"/>
    <w:rsid w:val="0051130D"/>
    <w:rsid w:val="005169FA"/>
    <w:rsid w:val="005219E1"/>
    <w:rsid w:val="00523DE7"/>
    <w:rsid w:val="0052483D"/>
    <w:rsid w:val="00525E73"/>
    <w:rsid w:val="00526627"/>
    <w:rsid w:val="00532884"/>
    <w:rsid w:val="00532E97"/>
    <w:rsid w:val="005342BC"/>
    <w:rsid w:val="005343FF"/>
    <w:rsid w:val="00534553"/>
    <w:rsid w:val="0053545D"/>
    <w:rsid w:val="00541489"/>
    <w:rsid w:val="00543AD4"/>
    <w:rsid w:val="00543F15"/>
    <w:rsid w:val="0054488D"/>
    <w:rsid w:val="00544926"/>
    <w:rsid w:val="005469E4"/>
    <w:rsid w:val="00553922"/>
    <w:rsid w:val="00557318"/>
    <w:rsid w:val="005611C2"/>
    <w:rsid w:val="00562958"/>
    <w:rsid w:val="005631FB"/>
    <w:rsid w:val="00564EE8"/>
    <w:rsid w:val="0056678B"/>
    <w:rsid w:val="0057614A"/>
    <w:rsid w:val="005762D7"/>
    <w:rsid w:val="0058055D"/>
    <w:rsid w:val="00586253"/>
    <w:rsid w:val="00590EE4"/>
    <w:rsid w:val="00591FCE"/>
    <w:rsid w:val="00597BA8"/>
    <w:rsid w:val="005A3BC7"/>
    <w:rsid w:val="005A555B"/>
    <w:rsid w:val="005A6E77"/>
    <w:rsid w:val="005B5F14"/>
    <w:rsid w:val="005B739E"/>
    <w:rsid w:val="005B76FF"/>
    <w:rsid w:val="005C7139"/>
    <w:rsid w:val="005D005E"/>
    <w:rsid w:val="005D0A17"/>
    <w:rsid w:val="005D1A2F"/>
    <w:rsid w:val="005D3021"/>
    <w:rsid w:val="005D58D8"/>
    <w:rsid w:val="005D7A61"/>
    <w:rsid w:val="005E0C34"/>
    <w:rsid w:val="005E384B"/>
    <w:rsid w:val="005E4C4E"/>
    <w:rsid w:val="005E58AC"/>
    <w:rsid w:val="005F0121"/>
    <w:rsid w:val="005F2D33"/>
    <w:rsid w:val="00601A45"/>
    <w:rsid w:val="0060247D"/>
    <w:rsid w:val="006038EF"/>
    <w:rsid w:val="0060520B"/>
    <w:rsid w:val="0060574F"/>
    <w:rsid w:val="00610E8F"/>
    <w:rsid w:val="006146AF"/>
    <w:rsid w:val="00615BC2"/>
    <w:rsid w:val="00617AA9"/>
    <w:rsid w:val="0063110B"/>
    <w:rsid w:val="00633056"/>
    <w:rsid w:val="006374D2"/>
    <w:rsid w:val="006431BF"/>
    <w:rsid w:val="00643C92"/>
    <w:rsid w:val="006445C2"/>
    <w:rsid w:val="00644B12"/>
    <w:rsid w:val="00644F73"/>
    <w:rsid w:val="0065139C"/>
    <w:rsid w:val="006546BE"/>
    <w:rsid w:val="00654BBF"/>
    <w:rsid w:val="00661B99"/>
    <w:rsid w:val="00663000"/>
    <w:rsid w:val="00664165"/>
    <w:rsid w:val="00664783"/>
    <w:rsid w:val="0066537E"/>
    <w:rsid w:val="00665BD8"/>
    <w:rsid w:val="00670DE2"/>
    <w:rsid w:val="006728EF"/>
    <w:rsid w:val="00672F1A"/>
    <w:rsid w:val="00676D1F"/>
    <w:rsid w:val="00682740"/>
    <w:rsid w:val="0068385B"/>
    <w:rsid w:val="006853C4"/>
    <w:rsid w:val="00686061"/>
    <w:rsid w:val="00690BC7"/>
    <w:rsid w:val="00692E3D"/>
    <w:rsid w:val="006A0424"/>
    <w:rsid w:val="006A0D2F"/>
    <w:rsid w:val="006A3A2F"/>
    <w:rsid w:val="006A47B9"/>
    <w:rsid w:val="006B22AA"/>
    <w:rsid w:val="006B376F"/>
    <w:rsid w:val="006B5673"/>
    <w:rsid w:val="006B7C95"/>
    <w:rsid w:val="006C1521"/>
    <w:rsid w:val="006C201C"/>
    <w:rsid w:val="006C61EF"/>
    <w:rsid w:val="006C6B0E"/>
    <w:rsid w:val="006C7702"/>
    <w:rsid w:val="006C7FFE"/>
    <w:rsid w:val="006D1703"/>
    <w:rsid w:val="006D54CF"/>
    <w:rsid w:val="006D5857"/>
    <w:rsid w:val="006D6165"/>
    <w:rsid w:val="006E35A0"/>
    <w:rsid w:val="006E49C2"/>
    <w:rsid w:val="006E4CFD"/>
    <w:rsid w:val="006E5C3F"/>
    <w:rsid w:val="006F1D5F"/>
    <w:rsid w:val="006F2473"/>
    <w:rsid w:val="006F2D42"/>
    <w:rsid w:val="006F7A1B"/>
    <w:rsid w:val="0070219F"/>
    <w:rsid w:val="00702E3E"/>
    <w:rsid w:val="007064BE"/>
    <w:rsid w:val="00711FE7"/>
    <w:rsid w:val="007149C3"/>
    <w:rsid w:val="00715550"/>
    <w:rsid w:val="00715B4E"/>
    <w:rsid w:val="00717CFD"/>
    <w:rsid w:val="00720318"/>
    <w:rsid w:val="00726030"/>
    <w:rsid w:val="007260C3"/>
    <w:rsid w:val="007308D7"/>
    <w:rsid w:val="00731BD1"/>
    <w:rsid w:val="007322F5"/>
    <w:rsid w:val="007347D8"/>
    <w:rsid w:val="00734BA9"/>
    <w:rsid w:val="00737DEE"/>
    <w:rsid w:val="00740B71"/>
    <w:rsid w:val="00745C88"/>
    <w:rsid w:val="007472EB"/>
    <w:rsid w:val="007473C9"/>
    <w:rsid w:val="007478DD"/>
    <w:rsid w:val="00750F56"/>
    <w:rsid w:val="00752481"/>
    <w:rsid w:val="00753BB8"/>
    <w:rsid w:val="00754090"/>
    <w:rsid w:val="00754DAF"/>
    <w:rsid w:val="00755841"/>
    <w:rsid w:val="00765241"/>
    <w:rsid w:val="00766B2D"/>
    <w:rsid w:val="0077109D"/>
    <w:rsid w:val="007719AF"/>
    <w:rsid w:val="0077588B"/>
    <w:rsid w:val="00780888"/>
    <w:rsid w:val="00786F03"/>
    <w:rsid w:val="00787533"/>
    <w:rsid w:val="00787FCB"/>
    <w:rsid w:val="00791088"/>
    <w:rsid w:val="00791A34"/>
    <w:rsid w:val="0079521C"/>
    <w:rsid w:val="00797C6D"/>
    <w:rsid w:val="00797E26"/>
    <w:rsid w:val="007A56AF"/>
    <w:rsid w:val="007B2BB0"/>
    <w:rsid w:val="007B5107"/>
    <w:rsid w:val="007B5455"/>
    <w:rsid w:val="007B6114"/>
    <w:rsid w:val="007C0583"/>
    <w:rsid w:val="007C288C"/>
    <w:rsid w:val="007C2AB4"/>
    <w:rsid w:val="007C6D04"/>
    <w:rsid w:val="007D040E"/>
    <w:rsid w:val="007D0D22"/>
    <w:rsid w:val="007D14F3"/>
    <w:rsid w:val="007D2655"/>
    <w:rsid w:val="007E155D"/>
    <w:rsid w:val="007E28AE"/>
    <w:rsid w:val="007E593D"/>
    <w:rsid w:val="007F5FEF"/>
    <w:rsid w:val="00807325"/>
    <w:rsid w:val="008119ED"/>
    <w:rsid w:val="008143D4"/>
    <w:rsid w:val="008229A8"/>
    <w:rsid w:val="0083055D"/>
    <w:rsid w:val="00833683"/>
    <w:rsid w:val="00844772"/>
    <w:rsid w:val="00851479"/>
    <w:rsid w:val="00853013"/>
    <w:rsid w:val="008539BB"/>
    <w:rsid w:val="00857486"/>
    <w:rsid w:val="00857D94"/>
    <w:rsid w:val="00861035"/>
    <w:rsid w:val="00861AB0"/>
    <w:rsid w:val="00862044"/>
    <w:rsid w:val="0086756D"/>
    <w:rsid w:val="00871237"/>
    <w:rsid w:val="00881BBC"/>
    <w:rsid w:val="00882DE5"/>
    <w:rsid w:val="00894D67"/>
    <w:rsid w:val="008950FE"/>
    <w:rsid w:val="008A08FA"/>
    <w:rsid w:val="008A0D37"/>
    <w:rsid w:val="008A1DF9"/>
    <w:rsid w:val="008A3883"/>
    <w:rsid w:val="008A49A5"/>
    <w:rsid w:val="008A5225"/>
    <w:rsid w:val="008A6902"/>
    <w:rsid w:val="008B4212"/>
    <w:rsid w:val="008B4A04"/>
    <w:rsid w:val="008C083E"/>
    <w:rsid w:val="008C2021"/>
    <w:rsid w:val="008C3076"/>
    <w:rsid w:val="008C7465"/>
    <w:rsid w:val="008D0C8B"/>
    <w:rsid w:val="008D1AD0"/>
    <w:rsid w:val="008D3234"/>
    <w:rsid w:val="008D4B5B"/>
    <w:rsid w:val="008E3000"/>
    <w:rsid w:val="008E4FBD"/>
    <w:rsid w:val="008F0A66"/>
    <w:rsid w:val="008F3BB3"/>
    <w:rsid w:val="008F4653"/>
    <w:rsid w:val="008F558E"/>
    <w:rsid w:val="008F6F15"/>
    <w:rsid w:val="008F724A"/>
    <w:rsid w:val="00900E99"/>
    <w:rsid w:val="009052CB"/>
    <w:rsid w:val="00911F9B"/>
    <w:rsid w:val="00923D40"/>
    <w:rsid w:val="0092527D"/>
    <w:rsid w:val="009254A5"/>
    <w:rsid w:val="00926582"/>
    <w:rsid w:val="00934AF1"/>
    <w:rsid w:val="00936F69"/>
    <w:rsid w:val="00943193"/>
    <w:rsid w:val="00943CD3"/>
    <w:rsid w:val="00950D45"/>
    <w:rsid w:val="00951701"/>
    <w:rsid w:val="009543E4"/>
    <w:rsid w:val="009628A0"/>
    <w:rsid w:val="00964B5D"/>
    <w:rsid w:val="00967F71"/>
    <w:rsid w:val="00973418"/>
    <w:rsid w:val="009743C9"/>
    <w:rsid w:val="0097629D"/>
    <w:rsid w:val="00981564"/>
    <w:rsid w:val="00990DB7"/>
    <w:rsid w:val="00992E28"/>
    <w:rsid w:val="00995582"/>
    <w:rsid w:val="009A1DDB"/>
    <w:rsid w:val="009A3021"/>
    <w:rsid w:val="009A3ADC"/>
    <w:rsid w:val="009B0D40"/>
    <w:rsid w:val="009B25AC"/>
    <w:rsid w:val="009B28D2"/>
    <w:rsid w:val="009D2087"/>
    <w:rsid w:val="009D27CA"/>
    <w:rsid w:val="009D7E16"/>
    <w:rsid w:val="009E03FC"/>
    <w:rsid w:val="009E2249"/>
    <w:rsid w:val="009F0F5A"/>
    <w:rsid w:val="009F5531"/>
    <w:rsid w:val="00A00CE5"/>
    <w:rsid w:val="00A0100A"/>
    <w:rsid w:val="00A06243"/>
    <w:rsid w:val="00A10392"/>
    <w:rsid w:val="00A11AC5"/>
    <w:rsid w:val="00A12491"/>
    <w:rsid w:val="00A124BC"/>
    <w:rsid w:val="00A17C77"/>
    <w:rsid w:val="00A20753"/>
    <w:rsid w:val="00A21191"/>
    <w:rsid w:val="00A2451E"/>
    <w:rsid w:val="00A254BA"/>
    <w:rsid w:val="00A25D73"/>
    <w:rsid w:val="00A27018"/>
    <w:rsid w:val="00A301BC"/>
    <w:rsid w:val="00A31A78"/>
    <w:rsid w:val="00A37B76"/>
    <w:rsid w:val="00A415B3"/>
    <w:rsid w:val="00A469DE"/>
    <w:rsid w:val="00A46AFB"/>
    <w:rsid w:val="00A51028"/>
    <w:rsid w:val="00A60A54"/>
    <w:rsid w:val="00A60D71"/>
    <w:rsid w:val="00A65F93"/>
    <w:rsid w:val="00A66609"/>
    <w:rsid w:val="00A674AA"/>
    <w:rsid w:val="00A72048"/>
    <w:rsid w:val="00A726EB"/>
    <w:rsid w:val="00A76099"/>
    <w:rsid w:val="00A7719A"/>
    <w:rsid w:val="00A824FE"/>
    <w:rsid w:val="00A84A48"/>
    <w:rsid w:val="00A86694"/>
    <w:rsid w:val="00A875C5"/>
    <w:rsid w:val="00A94F35"/>
    <w:rsid w:val="00AA15BF"/>
    <w:rsid w:val="00AA45DE"/>
    <w:rsid w:val="00AB0884"/>
    <w:rsid w:val="00AB38B1"/>
    <w:rsid w:val="00AB5676"/>
    <w:rsid w:val="00AC005C"/>
    <w:rsid w:val="00AC07DA"/>
    <w:rsid w:val="00AC6CF8"/>
    <w:rsid w:val="00AC7A11"/>
    <w:rsid w:val="00AD517C"/>
    <w:rsid w:val="00AD7864"/>
    <w:rsid w:val="00AE0BC1"/>
    <w:rsid w:val="00AE231E"/>
    <w:rsid w:val="00AE3B01"/>
    <w:rsid w:val="00AE4F61"/>
    <w:rsid w:val="00AE5073"/>
    <w:rsid w:val="00AE6B8B"/>
    <w:rsid w:val="00AE75B3"/>
    <w:rsid w:val="00AE777B"/>
    <w:rsid w:val="00AF17C5"/>
    <w:rsid w:val="00AF1B5B"/>
    <w:rsid w:val="00AF60F3"/>
    <w:rsid w:val="00B034EC"/>
    <w:rsid w:val="00B03807"/>
    <w:rsid w:val="00B03EC5"/>
    <w:rsid w:val="00B04077"/>
    <w:rsid w:val="00B062D6"/>
    <w:rsid w:val="00B074AA"/>
    <w:rsid w:val="00B11D95"/>
    <w:rsid w:val="00B17A03"/>
    <w:rsid w:val="00B20C08"/>
    <w:rsid w:val="00B21013"/>
    <w:rsid w:val="00B220C5"/>
    <w:rsid w:val="00B24742"/>
    <w:rsid w:val="00B25413"/>
    <w:rsid w:val="00B333F2"/>
    <w:rsid w:val="00B37B59"/>
    <w:rsid w:val="00B5388A"/>
    <w:rsid w:val="00B550CE"/>
    <w:rsid w:val="00B5587B"/>
    <w:rsid w:val="00B55A6F"/>
    <w:rsid w:val="00B71813"/>
    <w:rsid w:val="00B71950"/>
    <w:rsid w:val="00B74B91"/>
    <w:rsid w:val="00B74CAF"/>
    <w:rsid w:val="00B75CDD"/>
    <w:rsid w:val="00B77574"/>
    <w:rsid w:val="00B805F8"/>
    <w:rsid w:val="00B80F47"/>
    <w:rsid w:val="00B8300E"/>
    <w:rsid w:val="00B83F9B"/>
    <w:rsid w:val="00B928AC"/>
    <w:rsid w:val="00B94DC9"/>
    <w:rsid w:val="00BA03E7"/>
    <w:rsid w:val="00BA4D15"/>
    <w:rsid w:val="00BA7610"/>
    <w:rsid w:val="00BA79FA"/>
    <w:rsid w:val="00BB03F1"/>
    <w:rsid w:val="00BB38DC"/>
    <w:rsid w:val="00BC5B19"/>
    <w:rsid w:val="00BD2F5F"/>
    <w:rsid w:val="00BD476F"/>
    <w:rsid w:val="00BE1116"/>
    <w:rsid w:val="00BE12BA"/>
    <w:rsid w:val="00BE2A25"/>
    <w:rsid w:val="00BE45A9"/>
    <w:rsid w:val="00BE526E"/>
    <w:rsid w:val="00BE79B7"/>
    <w:rsid w:val="00BF0F71"/>
    <w:rsid w:val="00BF4235"/>
    <w:rsid w:val="00C0095B"/>
    <w:rsid w:val="00C01795"/>
    <w:rsid w:val="00C07C5C"/>
    <w:rsid w:val="00C110EB"/>
    <w:rsid w:val="00C20B26"/>
    <w:rsid w:val="00C24C79"/>
    <w:rsid w:val="00C254D8"/>
    <w:rsid w:val="00C258EA"/>
    <w:rsid w:val="00C259E8"/>
    <w:rsid w:val="00C2659D"/>
    <w:rsid w:val="00C276E6"/>
    <w:rsid w:val="00C35D55"/>
    <w:rsid w:val="00C36CA7"/>
    <w:rsid w:val="00C41B2E"/>
    <w:rsid w:val="00C41BF5"/>
    <w:rsid w:val="00C42056"/>
    <w:rsid w:val="00C422DD"/>
    <w:rsid w:val="00C43C8E"/>
    <w:rsid w:val="00C45398"/>
    <w:rsid w:val="00C504CD"/>
    <w:rsid w:val="00C52E12"/>
    <w:rsid w:val="00C608C0"/>
    <w:rsid w:val="00C6153F"/>
    <w:rsid w:val="00C64813"/>
    <w:rsid w:val="00C655B8"/>
    <w:rsid w:val="00C66C36"/>
    <w:rsid w:val="00C676A1"/>
    <w:rsid w:val="00C71330"/>
    <w:rsid w:val="00C72E6C"/>
    <w:rsid w:val="00C73772"/>
    <w:rsid w:val="00C77081"/>
    <w:rsid w:val="00C77F58"/>
    <w:rsid w:val="00C81CC4"/>
    <w:rsid w:val="00C858FE"/>
    <w:rsid w:val="00C87964"/>
    <w:rsid w:val="00C96DD2"/>
    <w:rsid w:val="00C97DBC"/>
    <w:rsid w:val="00CA2094"/>
    <w:rsid w:val="00CB0AB1"/>
    <w:rsid w:val="00CB25ED"/>
    <w:rsid w:val="00CB4541"/>
    <w:rsid w:val="00CB48E4"/>
    <w:rsid w:val="00CB6B6B"/>
    <w:rsid w:val="00CC06CC"/>
    <w:rsid w:val="00CC1E6A"/>
    <w:rsid w:val="00CC2802"/>
    <w:rsid w:val="00CC5365"/>
    <w:rsid w:val="00CD0173"/>
    <w:rsid w:val="00CD17E1"/>
    <w:rsid w:val="00CD2743"/>
    <w:rsid w:val="00CD3FFE"/>
    <w:rsid w:val="00CF3168"/>
    <w:rsid w:val="00CF326B"/>
    <w:rsid w:val="00CF5542"/>
    <w:rsid w:val="00CF65A4"/>
    <w:rsid w:val="00CF6F2E"/>
    <w:rsid w:val="00CF7EE7"/>
    <w:rsid w:val="00D02068"/>
    <w:rsid w:val="00D06189"/>
    <w:rsid w:val="00D10086"/>
    <w:rsid w:val="00D12677"/>
    <w:rsid w:val="00D13CBC"/>
    <w:rsid w:val="00D14F6C"/>
    <w:rsid w:val="00D153DA"/>
    <w:rsid w:val="00D16FC8"/>
    <w:rsid w:val="00D20A18"/>
    <w:rsid w:val="00D210FB"/>
    <w:rsid w:val="00D2379C"/>
    <w:rsid w:val="00D2385F"/>
    <w:rsid w:val="00D26F71"/>
    <w:rsid w:val="00D31800"/>
    <w:rsid w:val="00D3403B"/>
    <w:rsid w:val="00D34935"/>
    <w:rsid w:val="00D35C22"/>
    <w:rsid w:val="00D36667"/>
    <w:rsid w:val="00D40E0A"/>
    <w:rsid w:val="00D4243D"/>
    <w:rsid w:val="00D429A8"/>
    <w:rsid w:val="00D51528"/>
    <w:rsid w:val="00D638E7"/>
    <w:rsid w:val="00D67E97"/>
    <w:rsid w:val="00D73AC1"/>
    <w:rsid w:val="00D7494A"/>
    <w:rsid w:val="00D77451"/>
    <w:rsid w:val="00D81E6D"/>
    <w:rsid w:val="00D826EE"/>
    <w:rsid w:val="00D828A2"/>
    <w:rsid w:val="00D8320B"/>
    <w:rsid w:val="00D84BD8"/>
    <w:rsid w:val="00D861E9"/>
    <w:rsid w:val="00D87B35"/>
    <w:rsid w:val="00D927BF"/>
    <w:rsid w:val="00D975B0"/>
    <w:rsid w:val="00DA0B4D"/>
    <w:rsid w:val="00DA24C8"/>
    <w:rsid w:val="00DA2BA8"/>
    <w:rsid w:val="00DA3484"/>
    <w:rsid w:val="00DA6DC1"/>
    <w:rsid w:val="00DA7266"/>
    <w:rsid w:val="00DA7C98"/>
    <w:rsid w:val="00DB1362"/>
    <w:rsid w:val="00DB387D"/>
    <w:rsid w:val="00DB3C97"/>
    <w:rsid w:val="00DB5C6D"/>
    <w:rsid w:val="00DC2787"/>
    <w:rsid w:val="00DD2D72"/>
    <w:rsid w:val="00DD621E"/>
    <w:rsid w:val="00DD6734"/>
    <w:rsid w:val="00DE02CA"/>
    <w:rsid w:val="00DE2CFE"/>
    <w:rsid w:val="00DE2DB6"/>
    <w:rsid w:val="00DE3774"/>
    <w:rsid w:val="00DE37FB"/>
    <w:rsid w:val="00DE3B3B"/>
    <w:rsid w:val="00DE715A"/>
    <w:rsid w:val="00DF5C99"/>
    <w:rsid w:val="00E0026F"/>
    <w:rsid w:val="00E00D97"/>
    <w:rsid w:val="00E01871"/>
    <w:rsid w:val="00E05379"/>
    <w:rsid w:val="00E1209C"/>
    <w:rsid w:val="00E13A50"/>
    <w:rsid w:val="00E15FC1"/>
    <w:rsid w:val="00E20D48"/>
    <w:rsid w:val="00E25052"/>
    <w:rsid w:val="00E32B77"/>
    <w:rsid w:val="00E34F5A"/>
    <w:rsid w:val="00E36887"/>
    <w:rsid w:val="00E368FC"/>
    <w:rsid w:val="00E458F0"/>
    <w:rsid w:val="00E47328"/>
    <w:rsid w:val="00E559A5"/>
    <w:rsid w:val="00E623E9"/>
    <w:rsid w:val="00E65662"/>
    <w:rsid w:val="00E71DCB"/>
    <w:rsid w:val="00E769B9"/>
    <w:rsid w:val="00E7730F"/>
    <w:rsid w:val="00E8054D"/>
    <w:rsid w:val="00E90D61"/>
    <w:rsid w:val="00E95C7A"/>
    <w:rsid w:val="00E9627A"/>
    <w:rsid w:val="00E9657C"/>
    <w:rsid w:val="00E97501"/>
    <w:rsid w:val="00EA0A31"/>
    <w:rsid w:val="00EA3AF5"/>
    <w:rsid w:val="00EA59C6"/>
    <w:rsid w:val="00EA7269"/>
    <w:rsid w:val="00EB29CA"/>
    <w:rsid w:val="00EB3F82"/>
    <w:rsid w:val="00EB77EE"/>
    <w:rsid w:val="00EC58E4"/>
    <w:rsid w:val="00ED674E"/>
    <w:rsid w:val="00EE02C6"/>
    <w:rsid w:val="00EE4278"/>
    <w:rsid w:val="00EE756D"/>
    <w:rsid w:val="00EF0556"/>
    <w:rsid w:val="00EF1650"/>
    <w:rsid w:val="00EF23E4"/>
    <w:rsid w:val="00EF2A45"/>
    <w:rsid w:val="00EF36C0"/>
    <w:rsid w:val="00EF45F8"/>
    <w:rsid w:val="00EF467C"/>
    <w:rsid w:val="00EF5892"/>
    <w:rsid w:val="00EF5A9A"/>
    <w:rsid w:val="00F02E42"/>
    <w:rsid w:val="00F04C74"/>
    <w:rsid w:val="00F06D9F"/>
    <w:rsid w:val="00F07ED8"/>
    <w:rsid w:val="00F15DFB"/>
    <w:rsid w:val="00F16550"/>
    <w:rsid w:val="00F178EC"/>
    <w:rsid w:val="00F207B7"/>
    <w:rsid w:val="00F25D63"/>
    <w:rsid w:val="00F339F5"/>
    <w:rsid w:val="00F36B7E"/>
    <w:rsid w:val="00F375C7"/>
    <w:rsid w:val="00F418A5"/>
    <w:rsid w:val="00F41D8A"/>
    <w:rsid w:val="00F467EB"/>
    <w:rsid w:val="00F46B93"/>
    <w:rsid w:val="00F46C39"/>
    <w:rsid w:val="00F47A25"/>
    <w:rsid w:val="00F50A64"/>
    <w:rsid w:val="00F51D32"/>
    <w:rsid w:val="00F52C75"/>
    <w:rsid w:val="00F52F5B"/>
    <w:rsid w:val="00F53CE5"/>
    <w:rsid w:val="00F600C1"/>
    <w:rsid w:val="00F61383"/>
    <w:rsid w:val="00F714C8"/>
    <w:rsid w:val="00F72EC9"/>
    <w:rsid w:val="00F743DE"/>
    <w:rsid w:val="00F77B03"/>
    <w:rsid w:val="00F77D2E"/>
    <w:rsid w:val="00F80AA7"/>
    <w:rsid w:val="00F81CA1"/>
    <w:rsid w:val="00F8754B"/>
    <w:rsid w:val="00F900F5"/>
    <w:rsid w:val="00F913B0"/>
    <w:rsid w:val="00F91846"/>
    <w:rsid w:val="00F924D1"/>
    <w:rsid w:val="00F92990"/>
    <w:rsid w:val="00F93FDD"/>
    <w:rsid w:val="00F94214"/>
    <w:rsid w:val="00F954AA"/>
    <w:rsid w:val="00F9554F"/>
    <w:rsid w:val="00FA222D"/>
    <w:rsid w:val="00FA2FA0"/>
    <w:rsid w:val="00FA51A0"/>
    <w:rsid w:val="00FB06F0"/>
    <w:rsid w:val="00FB1209"/>
    <w:rsid w:val="00FB735E"/>
    <w:rsid w:val="00FD2086"/>
    <w:rsid w:val="00FD4627"/>
    <w:rsid w:val="00FD7BF5"/>
    <w:rsid w:val="00FF07FC"/>
    <w:rsid w:val="00FF3090"/>
    <w:rsid w:val="00FF44FB"/>
    <w:rsid w:val="00FF4529"/>
    <w:rsid w:val="0585AD96"/>
    <w:rsid w:val="3AFBC86E"/>
    <w:rsid w:val="3C9ED9BF"/>
    <w:rsid w:val="47AEE724"/>
    <w:rsid w:val="7285AA09"/>
    <w:rsid w:val="7B8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976FA"/>
  <w14:defaultImageDpi w14:val="0"/>
  <w15:docId w15:val="{F656F5A7-E224-4F8B-9953-905E83F3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4A"/>
    <w:pPr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94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94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94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94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94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94A"/>
    <w:pPr>
      <w:keepNext/>
      <w:keepLines/>
      <w:spacing w:before="4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94A"/>
    <w:pPr>
      <w:keepNext/>
      <w:keepLines/>
      <w:spacing w:before="40"/>
      <w:outlineLvl w:val="6"/>
    </w:pPr>
    <w:rPr>
      <w:rFonts w:eastAsiaTheme="majorEastAsia" w:cs="Times New Roman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94A"/>
    <w:pPr>
      <w:keepNext/>
      <w:keepLines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94A"/>
    <w:pPr>
      <w:keepNext/>
      <w:keepLines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94A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94A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94A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94A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94A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94A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94A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94A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94A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94A"/>
    <w:pPr>
      <w:spacing w:after="80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94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94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94A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94A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94A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94A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94A"/>
    <w:rPr>
      <w:rFonts w:cs="Times New Roman"/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494A"/>
    <w:pPr>
      <w:spacing w:after="0" w:line="240" w:lineRule="auto"/>
    </w:pPr>
    <w:rPr>
      <w:rFonts w:cs="Times New Roman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D7494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D7494A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3AFBC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3AFBC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kern w:val="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C1BC9"/>
    <w:rPr>
      <w:rFonts w:cs="Times New Roman"/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2900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2900"/>
    <w:rPr>
      <w:rFonts w:ascii="Calibri" w:hAnsi="Calibri" w:cs="Times New Roman"/>
      <w:kern w:val="0"/>
      <w:sz w:val="21"/>
      <w:szCs w:val="21"/>
    </w:rPr>
  </w:style>
  <w:style w:type="paragraph" w:styleId="Revision">
    <w:name w:val="Revision"/>
    <w:hidden/>
    <w:uiPriority w:val="99"/>
    <w:semiHidden/>
    <w:rsid w:val="003954C7"/>
    <w:pPr>
      <w:spacing w:after="0" w:line="240" w:lineRule="auto"/>
    </w:pPr>
    <w:rPr>
      <w:rFonts w:ascii="Arial" w:hAnsi="Arial" w:cs="Arial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76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ffolkonboard.com/bus-service-improvement-plan-where-should-the-money-be-sp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7756</Characters>
  <Application>Microsoft Office Word</Application>
  <DocSecurity>0</DocSecurity>
  <Lines>646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Peacock</dc:creator>
  <cp:keywords/>
  <dc:description/>
  <cp:lastModifiedBy>Kathleen Peacock</cp:lastModifiedBy>
  <cp:revision>2</cp:revision>
  <cp:lastPrinted>2026-04-07T14:22:00Z</cp:lastPrinted>
  <dcterms:created xsi:type="dcterms:W3CDTF">2026-05-25T19:08:00Z</dcterms:created>
  <dcterms:modified xsi:type="dcterms:W3CDTF">2026-05-25T19:08:00Z</dcterms:modified>
</cp:coreProperties>
</file>